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2EB55" w14:textId="70CD7ED5" w:rsidR="00912452" w:rsidRDefault="00B01994" w:rsidP="00912452">
      <w:pPr>
        <w:pStyle w:val="Titre1"/>
        <w:rPr>
          <w:sz w:val="28"/>
          <w:szCs w:val="28"/>
          <w:lang w:val="en-US"/>
        </w:rPr>
      </w:pPr>
      <w:r>
        <w:rPr>
          <w:sz w:val="28"/>
          <w:szCs w:val="28"/>
          <w:lang w:val="en-US"/>
        </w:rPr>
        <w:t>C</w:t>
      </w:r>
      <w:r w:rsidR="00912452" w:rsidRPr="007D32D5">
        <w:rPr>
          <w:sz w:val="28"/>
          <w:szCs w:val="28"/>
          <w:lang w:val="en-US"/>
        </w:rPr>
        <w:t xml:space="preserve">alls horizon </w:t>
      </w:r>
      <w:r>
        <w:rPr>
          <w:sz w:val="28"/>
          <w:szCs w:val="28"/>
          <w:lang w:val="en-US"/>
        </w:rPr>
        <w:t>Europe</w:t>
      </w:r>
    </w:p>
    <w:p w14:paraId="2D6F44EF" w14:textId="294CE815" w:rsidR="00B01994" w:rsidRPr="00B01994" w:rsidRDefault="00B01994" w:rsidP="00B01994">
      <w:pPr>
        <w:rPr>
          <w:rFonts w:ascii="Arial" w:eastAsia="Times New Roman" w:hAnsi="Arial" w:cs="Arial"/>
          <w:b/>
          <w:bCs/>
          <w:color w:val="7B8797"/>
          <w:kern w:val="0"/>
          <w:lang w:val="fr-FR" w:eastAsia="fr-FR"/>
          <w14:ligatures w14:val="none"/>
        </w:rPr>
      </w:pPr>
      <w:proofErr w:type="gramStart"/>
      <w:r w:rsidRPr="00B01994">
        <w:rPr>
          <w:rFonts w:ascii="Arial" w:eastAsia="Times New Roman" w:hAnsi="Arial" w:cs="Arial"/>
          <w:b/>
          <w:bCs/>
          <w:color w:val="7B8797"/>
          <w:kern w:val="0"/>
          <w:lang w:val="fr-FR" w:eastAsia="fr-FR"/>
          <w14:ligatures w14:val="none"/>
        </w:rPr>
        <w:t>Contact :</w:t>
      </w:r>
      <w:proofErr w:type="gramEnd"/>
    </w:p>
    <w:p w14:paraId="1BC60D33" w14:textId="41A83525" w:rsidR="00B01994" w:rsidRDefault="00B01994" w:rsidP="00B01994">
      <w:pPr>
        <w:spacing w:after="0" w:line="240" w:lineRule="auto"/>
        <w:rPr>
          <w:lang w:val="en-US"/>
        </w:rPr>
      </w:pPr>
      <w:r>
        <w:rPr>
          <w:lang w:val="en-US"/>
        </w:rPr>
        <w:t>Director Management in Innovative Health Chair</w:t>
      </w:r>
    </w:p>
    <w:p w14:paraId="25CA0898" w14:textId="55FAE83C" w:rsidR="00B01994" w:rsidRPr="00B01994" w:rsidRDefault="00B01994" w:rsidP="00B01994">
      <w:pPr>
        <w:spacing w:after="0" w:line="240" w:lineRule="auto"/>
        <w:rPr>
          <w:lang w:val="en-US"/>
        </w:rPr>
      </w:pPr>
      <w:hyperlink r:id="rId5" w:history="1">
        <w:r w:rsidRPr="00B01994">
          <w:rPr>
            <w:rStyle w:val="Lienhypertexte"/>
            <w:lang w:val="en-US"/>
          </w:rPr>
          <w:t>loick.menvielle@edhec.edu</w:t>
        </w:r>
      </w:hyperlink>
      <w:r w:rsidRPr="00B01994">
        <w:rPr>
          <w:lang w:val="en-US"/>
        </w:rPr>
        <w:t xml:space="preserve"> </w:t>
      </w:r>
    </w:p>
    <w:p w14:paraId="318B00BC" w14:textId="77777777" w:rsidR="00912452" w:rsidRPr="00B01994" w:rsidRDefault="00912452" w:rsidP="00912452">
      <w:pPr>
        <w:keepNext/>
        <w:pBdr>
          <w:bottom w:val="single" w:sz="4" w:space="1" w:color="auto"/>
        </w:pBdr>
        <w:spacing w:before="400" w:after="280" w:line="240" w:lineRule="auto"/>
        <w:jc w:val="both"/>
        <w:outlineLvl w:val="2"/>
        <w:rPr>
          <w:rFonts w:ascii="Arial" w:eastAsia="Times New Roman" w:hAnsi="Arial" w:cs="Arial"/>
          <w:b/>
          <w:bCs/>
          <w:color w:val="7B8797"/>
          <w:kern w:val="0"/>
          <w:lang w:val="fr-FR" w:eastAsia="fr-FR"/>
          <w14:ligatures w14:val="none"/>
        </w:rPr>
      </w:pPr>
      <w:r w:rsidRPr="00B01994">
        <w:rPr>
          <w:rFonts w:ascii="Arial" w:eastAsia="Times New Roman" w:hAnsi="Arial" w:cs="Arial"/>
          <w:b/>
          <w:bCs/>
          <w:color w:val="7B8797"/>
          <w:kern w:val="0"/>
          <w:lang w:val="fr-FR" w:eastAsia="fr-FR"/>
          <w14:ligatures w14:val="none"/>
        </w:rPr>
        <w:t>Who’s EDHEC ?</w:t>
      </w:r>
    </w:p>
    <w:p w14:paraId="3CA7F281" w14:textId="77777777" w:rsidR="00912452" w:rsidRPr="002006D1" w:rsidRDefault="00912452" w:rsidP="00912452">
      <w:pPr>
        <w:jc w:val="both"/>
        <w:rPr>
          <w:lang w:val="en" w:eastAsia="fr-FR"/>
        </w:rPr>
      </w:pPr>
      <w:r w:rsidRPr="002006D1">
        <w:rPr>
          <w:lang w:val="en" w:eastAsia="fr-FR"/>
        </w:rPr>
        <w:t>EDHEC Business School is a higher education institution, with non-profit status (under the 1901 law) recognized as being of general interest (EESPIG qualification). EDHEC offers initial higher education programs, apprenticeship programs (primarily on the Paris Campus – not recognized by the CFA), as well as continuing education.</w:t>
      </w:r>
    </w:p>
    <w:p w14:paraId="120F2046" w14:textId="77777777" w:rsidR="00912452" w:rsidRPr="002006D1" w:rsidRDefault="00912452" w:rsidP="00912452">
      <w:pPr>
        <w:jc w:val="both"/>
        <w:rPr>
          <w:lang w:val="en" w:eastAsia="fr-FR"/>
        </w:rPr>
      </w:pPr>
      <w:r w:rsidRPr="002006D1">
        <w:rPr>
          <w:lang w:val="en" w:eastAsia="fr-FR"/>
        </w:rPr>
        <w:t>EDHEC has 9,206 students (as of October 21, 2024) across three French campuses:</w:t>
      </w:r>
    </w:p>
    <w:p w14:paraId="6955D600" w14:textId="77777777" w:rsidR="00912452" w:rsidRPr="002006D1" w:rsidRDefault="00912452" w:rsidP="00912452">
      <w:pPr>
        <w:jc w:val="both"/>
        <w:rPr>
          <w:lang w:val="en" w:eastAsia="fr-FR"/>
        </w:rPr>
      </w:pPr>
      <w:r w:rsidRPr="002006D1">
        <w:rPr>
          <w:lang w:val="en" w:eastAsia="fr-FR"/>
        </w:rPr>
        <w:t>- Lille Campus: 5,858 students</w:t>
      </w:r>
    </w:p>
    <w:p w14:paraId="1CFF9D29" w14:textId="77777777" w:rsidR="00912452" w:rsidRPr="002006D1" w:rsidRDefault="00912452" w:rsidP="00912452">
      <w:pPr>
        <w:jc w:val="both"/>
        <w:rPr>
          <w:lang w:val="en" w:eastAsia="fr-FR"/>
        </w:rPr>
      </w:pPr>
      <w:r w:rsidRPr="002006D1">
        <w:rPr>
          <w:lang w:val="en" w:eastAsia="fr-FR"/>
        </w:rPr>
        <w:t>- Nice Campus: 2,935 students</w:t>
      </w:r>
    </w:p>
    <w:p w14:paraId="153CFB99" w14:textId="77777777" w:rsidR="00912452" w:rsidRPr="002006D1" w:rsidRDefault="00912452" w:rsidP="00912452">
      <w:pPr>
        <w:jc w:val="both"/>
        <w:rPr>
          <w:lang w:val="en" w:eastAsia="fr-FR"/>
        </w:rPr>
      </w:pPr>
      <w:r w:rsidRPr="002006D1">
        <w:rPr>
          <w:lang w:val="en" w:eastAsia="fr-FR"/>
        </w:rPr>
        <w:t>- Paris Campus: 413 students</w:t>
      </w:r>
    </w:p>
    <w:p w14:paraId="5F8CDDEB" w14:textId="77777777" w:rsidR="00912452" w:rsidRPr="002006D1" w:rsidRDefault="00912452" w:rsidP="00912452">
      <w:pPr>
        <w:jc w:val="both"/>
        <w:rPr>
          <w:lang w:val="en" w:eastAsia="fr-FR"/>
        </w:rPr>
      </w:pPr>
      <w:r w:rsidRPr="002006D1">
        <w:rPr>
          <w:lang w:val="en" w:eastAsia="fr-FR"/>
        </w:rPr>
        <w:t>EDHEC offers online courses through EDHEC Online (EOL - 500 students).</w:t>
      </w:r>
    </w:p>
    <w:p w14:paraId="3A2A6932" w14:textId="77777777" w:rsidR="00912452" w:rsidRPr="002006D1" w:rsidRDefault="00912452" w:rsidP="00912452">
      <w:pPr>
        <w:jc w:val="both"/>
        <w:rPr>
          <w:lang w:val="en-US" w:eastAsia="fr-FR"/>
        </w:rPr>
      </w:pPr>
      <w:r w:rsidRPr="002006D1">
        <w:rPr>
          <w:lang w:val="en" w:eastAsia="fr-FR"/>
        </w:rPr>
        <w:t xml:space="preserve">In addition to education, EDHEC has several research teams across its various campuses and is also involved in supporting entrepreneurship. </w:t>
      </w:r>
      <w:r w:rsidRPr="003C0E6B">
        <w:rPr>
          <w:b/>
          <w:bCs/>
          <w:lang w:val="en" w:eastAsia="fr-FR"/>
        </w:rPr>
        <w:t xml:space="preserve">The </w:t>
      </w:r>
      <w:r>
        <w:rPr>
          <w:b/>
          <w:bCs/>
          <w:lang w:val="en" w:eastAsia="fr-FR"/>
        </w:rPr>
        <w:t>‘</w:t>
      </w:r>
      <w:r w:rsidRPr="003C0E6B">
        <w:rPr>
          <w:b/>
          <w:bCs/>
          <w:lang w:val="en" w:eastAsia="fr-FR"/>
        </w:rPr>
        <w:t>Management in Innovative Health</w:t>
      </w:r>
      <w:r>
        <w:rPr>
          <w:b/>
          <w:bCs/>
          <w:lang w:val="en" w:eastAsia="fr-FR"/>
        </w:rPr>
        <w:t>’</w:t>
      </w:r>
      <w:r w:rsidRPr="003C0E6B">
        <w:rPr>
          <w:b/>
          <w:bCs/>
          <w:lang w:val="en" w:eastAsia="fr-FR"/>
        </w:rPr>
        <w:t xml:space="preserve"> Chair is dedicated to advancing knowledge and practices regarding the impact of digital technology on healthcare, the emergence of e-health, and adoption of connected health systems. The chair is structured around three major areas: research, teaching, and dissemination of acquired knowledge.</w:t>
      </w:r>
    </w:p>
    <w:p w14:paraId="0812816D" w14:textId="77777777" w:rsidR="00912452" w:rsidRPr="007D4A1B" w:rsidRDefault="00912452" w:rsidP="00912452">
      <w:pPr>
        <w:keepNext/>
        <w:pBdr>
          <w:bottom w:val="single" w:sz="4" w:space="1" w:color="auto"/>
        </w:pBdr>
        <w:spacing w:before="400" w:after="280" w:line="240" w:lineRule="auto"/>
        <w:jc w:val="both"/>
        <w:outlineLvl w:val="2"/>
        <w:rPr>
          <w:rFonts w:ascii="Arial" w:eastAsia="Times New Roman" w:hAnsi="Arial" w:cs="Arial"/>
          <w:b/>
          <w:bCs/>
          <w:color w:val="7B8797"/>
          <w:kern w:val="0"/>
          <w:lang w:val="en-US" w:eastAsia="fr-FR"/>
          <w14:ligatures w14:val="none"/>
        </w:rPr>
      </w:pPr>
      <w:r w:rsidRPr="007D4A1B">
        <w:rPr>
          <w:rFonts w:ascii="Arial" w:eastAsia="Times New Roman" w:hAnsi="Arial" w:cs="Arial"/>
          <w:b/>
          <w:bCs/>
          <w:color w:val="7B8797"/>
          <w:kern w:val="0"/>
          <w:lang w:val="en-US" w:eastAsia="fr-FR"/>
          <w14:ligatures w14:val="none"/>
        </w:rPr>
        <w:t>Context and objectives</w:t>
      </w:r>
    </w:p>
    <w:p w14:paraId="48FBF968" w14:textId="77777777" w:rsidR="00912452" w:rsidRDefault="00912452" w:rsidP="00912452">
      <w:pPr>
        <w:jc w:val="both"/>
        <w:rPr>
          <w:lang w:val="en-US"/>
        </w:rPr>
      </w:pPr>
      <w:r>
        <w:rPr>
          <w:lang w:val="en-US"/>
        </w:rPr>
        <w:t>T</w:t>
      </w:r>
      <w:r w:rsidRPr="005B2AB1">
        <w:rPr>
          <w:lang w:val="en-US"/>
        </w:rPr>
        <w:t xml:space="preserve">he </w:t>
      </w:r>
      <w:r>
        <w:rPr>
          <w:lang w:val="en-US"/>
        </w:rPr>
        <w:t xml:space="preserve">‘Management in Innovative Health’ </w:t>
      </w:r>
      <w:r w:rsidRPr="005B2AB1">
        <w:rPr>
          <w:lang w:val="en-US"/>
        </w:rPr>
        <w:t xml:space="preserve">Chair </w:t>
      </w:r>
      <w:r>
        <w:rPr>
          <w:lang w:val="en-US"/>
        </w:rPr>
        <w:t xml:space="preserve">of EDHEC </w:t>
      </w:r>
      <w:r w:rsidRPr="005B2AB1">
        <w:rPr>
          <w:lang w:val="en-US"/>
        </w:rPr>
        <w:t>wo</w:t>
      </w:r>
      <w:r>
        <w:rPr>
          <w:lang w:val="en-US"/>
        </w:rPr>
        <w:t xml:space="preserve">uld like to join a Consortium as a partner, to </w:t>
      </w:r>
      <w:proofErr w:type="gramStart"/>
      <w:r>
        <w:rPr>
          <w:lang w:val="en-US"/>
        </w:rPr>
        <w:t>answer to</w:t>
      </w:r>
      <w:proofErr w:type="gramEnd"/>
      <w:r>
        <w:rPr>
          <w:lang w:val="en-US"/>
        </w:rPr>
        <w:t xml:space="preserve"> the following Horizon Europe calls that should be published in May 2025, with a deadline on 18</w:t>
      </w:r>
      <w:r w:rsidRPr="00777561">
        <w:rPr>
          <w:vertAlign w:val="superscript"/>
          <w:lang w:val="en-US"/>
        </w:rPr>
        <w:t>th</w:t>
      </w:r>
      <w:r>
        <w:rPr>
          <w:lang w:val="en-US"/>
        </w:rPr>
        <w:t xml:space="preserve"> September 2025: </w:t>
      </w:r>
    </w:p>
    <w:p w14:paraId="059BD736" w14:textId="77777777" w:rsidR="00912452" w:rsidRPr="004F7985" w:rsidRDefault="00912452" w:rsidP="00912452">
      <w:pPr>
        <w:pStyle w:val="Paragraphedeliste"/>
        <w:numPr>
          <w:ilvl w:val="0"/>
          <w:numId w:val="2"/>
        </w:numPr>
        <w:jc w:val="both"/>
        <w:rPr>
          <w:lang w:val="en-US"/>
        </w:rPr>
      </w:pPr>
      <w:r w:rsidRPr="004F7985">
        <w:rPr>
          <w:lang w:val="en-US"/>
        </w:rPr>
        <w:t>HORIZON-HLTH-2025-01-CARE-01: End user-driven application of Generative Artificial Intelligence models in healthcare (GenAI4EU)</w:t>
      </w:r>
    </w:p>
    <w:p w14:paraId="469BF095" w14:textId="77777777" w:rsidR="00912452" w:rsidRDefault="00912452" w:rsidP="00912452">
      <w:pPr>
        <w:pStyle w:val="Paragraphedeliste"/>
        <w:numPr>
          <w:ilvl w:val="0"/>
          <w:numId w:val="2"/>
        </w:numPr>
        <w:jc w:val="both"/>
        <w:rPr>
          <w:lang w:val="en-US"/>
        </w:rPr>
      </w:pPr>
      <w:r w:rsidRPr="004F7985">
        <w:rPr>
          <w:lang w:val="en-US"/>
        </w:rPr>
        <w:t>HORIZON-HLTH-2025-01-TOOL-03: Leveraging multimodal data to advance Generative Artificial Intelligence applicability in biomedical research (GenAI4EU)</w:t>
      </w:r>
    </w:p>
    <w:p w14:paraId="67696648" w14:textId="77777777" w:rsidR="00912452" w:rsidRDefault="00912452" w:rsidP="00912452">
      <w:pPr>
        <w:jc w:val="both"/>
        <w:rPr>
          <w:lang w:val="en"/>
        </w:rPr>
      </w:pPr>
      <w:r>
        <w:rPr>
          <w:lang w:val="en-US"/>
        </w:rPr>
        <w:t xml:space="preserve">In these calls, </w:t>
      </w:r>
      <w:r w:rsidRPr="009D7EE7">
        <w:rPr>
          <w:lang w:val="en"/>
        </w:rPr>
        <w:t>a</w:t>
      </w:r>
      <w:r>
        <w:rPr>
          <w:lang w:val="en"/>
        </w:rPr>
        <w:t xml:space="preserve"> Social and Human Sciences (</w:t>
      </w:r>
      <w:r w:rsidRPr="009D7EE7">
        <w:rPr>
          <w:lang w:val="en"/>
        </w:rPr>
        <w:t>SHS</w:t>
      </w:r>
      <w:r>
        <w:rPr>
          <w:lang w:val="en"/>
        </w:rPr>
        <w:t>)</w:t>
      </w:r>
      <w:r w:rsidRPr="009D7EE7">
        <w:rPr>
          <w:lang w:val="en"/>
        </w:rPr>
        <w:t xml:space="preserve"> dimension on the patient experience and the acceptability of AI by the patient</w:t>
      </w:r>
      <w:r>
        <w:rPr>
          <w:lang w:val="en"/>
        </w:rPr>
        <w:t xml:space="preserve"> is required</w:t>
      </w:r>
      <w:r w:rsidRPr="009D7EE7">
        <w:rPr>
          <w:lang w:val="en"/>
        </w:rPr>
        <w:t>,</w:t>
      </w:r>
      <w:r>
        <w:rPr>
          <w:lang w:val="en"/>
        </w:rPr>
        <w:t xml:space="preserve"> which is</w:t>
      </w:r>
      <w:r w:rsidRPr="009D7EE7">
        <w:rPr>
          <w:lang w:val="en"/>
        </w:rPr>
        <w:t xml:space="preserve"> a building block on which the Health Innovation Hub could position itself as a partner in the project.</w:t>
      </w:r>
    </w:p>
    <w:p w14:paraId="27A3C3D0" w14:textId="77777777" w:rsidR="00B01994" w:rsidRDefault="00B01994" w:rsidP="00912452">
      <w:pPr>
        <w:jc w:val="both"/>
        <w:rPr>
          <w:lang w:val="en"/>
        </w:rPr>
      </w:pPr>
    </w:p>
    <w:p w14:paraId="00FF6B2C" w14:textId="77777777" w:rsidR="00B01994" w:rsidRPr="00893F65" w:rsidRDefault="00B01994" w:rsidP="00912452">
      <w:pPr>
        <w:jc w:val="both"/>
      </w:pPr>
    </w:p>
    <w:p w14:paraId="5185D669" w14:textId="77777777" w:rsidR="00912452" w:rsidRPr="006F54EE" w:rsidRDefault="00912452" w:rsidP="00912452">
      <w:pPr>
        <w:keepNext/>
        <w:pBdr>
          <w:bottom w:val="single" w:sz="4" w:space="1" w:color="7B8797"/>
        </w:pBdr>
        <w:spacing w:before="400" w:after="280" w:line="240" w:lineRule="auto"/>
        <w:jc w:val="both"/>
        <w:outlineLvl w:val="2"/>
        <w:rPr>
          <w:rFonts w:ascii="Arial" w:eastAsia="Times New Roman" w:hAnsi="Arial" w:cs="Arial"/>
          <w:b/>
          <w:bCs/>
          <w:color w:val="7B8797"/>
          <w:kern w:val="0"/>
          <w:lang w:val="en-US" w:eastAsia="fr-FR"/>
          <w14:ligatures w14:val="none"/>
        </w:rPr>
      </w:pPr>
      <w:r w:rsidRPr="006F54EE">
        <w:rPr>
          <w:rFonts w:ascii="Arial" w:eastAsia="Times New Roman" w:hAnsi="Arial" w:cs="Arial"/>
          <w:b/>
          <w:bCs/>
          <w:color w:val="7B8797"/>
          <w:kern w:val="0"/>
          <w:lang w:val="en-US" w:eastAsia="fr-FR"/>
          <w14:ligatures w14:val="none"/>
        </w:rPr>
        <w:lastRenderedPageBreak/>
        <w:t xml:space="preserve">Horizon Europe calls (draft- </w:t>
      </w:r>
      <w:r>
        <w:rPr>
          <w:rFonts w:ascii="Arial" w:eastAsia="Times New Roman" w:hAnsi="Arial" w:cs="Arial"/>
          <w:b/>
          <w:bCs/>
          <w:color w:val="7B8797"/>
          <w:kern w:val="0"/>
          <w:lang w:val="en-US" w:eastAsia="fr-FR"/>
          <w14:ligatures w14:val="none"/>
        </w:rPr>
        <w:t>official publication in May 2025)</w:t>
      </w:r>
    </w:p>
    <w:p w14:paraId="167F5676" w14:textId="77777777" w:rsidR="00912452" w:rsidRPr="006F54EE" w:rsidRDefault="00912452" w:rsidP="00912452">
      <w:pPr>
        <w:pStyle w:val="Paragraphedeliste"/>
        <w:autoSpaceDE w:val="0"/>
        <w:autoSpaceDN w:val="0"/>
        <w:adjustRightInd w:val="0"/>
        <w:spacing w:after="0" w:line="240" w:lineRule="auto"/>
        <w:jc w:val="both"/>
        <w:rPr>
          <w:lang w:val="en-US" w:eastAsia="fr-FR"/>
        </w:rPr>
      </w:pPr>
    </w:p>
    <w:p w14:paraId="2E2497F4" w14:textId="77777777" w:rsidR="00912452" w:rsidRDefault="00912452" w:rsidP="00912452">
      <w:pPr>
        <w:pStyle w:val="Paragraphedeliste"/>
        <w:numPr>
          <w:ilvl w:val="0"/>
          <w:numId w:val="1"/>
        </w:numPr>
        <w:autoSpaceDE w:val="0"/>
        <w:autoSpaceDN w:val="0"/>
        <w:adjustRightInd w:val="0"/>
        <w:spacing w:after="0" w:line="240" w:lineRule="auto"/>
        <w:jc w:val="both"/>
        <w:rPr>
          <w:b/>
          <w:bCs/>
          <w:lang w:val="en-US" w:eastAsia="fr-FR"/>
        </w:rPr>
      </w:pPr>
      <w:r w:rsidRPr="006F54EE">
        <w:rPr>
          <w:b/>
          <w:bCs/>
          <w:lang w:eastAsia="fr-FR"/>
        </w:rPr>
        <w:t>Grant covering 100% of eligible expense</w:t>
      </w:r>
      <w:r w:rsidRPr="006F54EE">
        <w:rPr>
          <w:b/>
          <w:bCs/>
          <w:lang w:val="en-US" w:eastAsia="fr-FR"/>
        </w:rPr>
        <w:t>s</w:t>
      </w:r>
    </w:p>
    <w:p w14:paraId="4CE63020" w14:textId="77777777" w:rsidR="00912452" w:rsidRPr="00893F65" w:rsidRDefault="00912452" w:rsidP="00912452">
      <w:pPr>
        <w:pStyle w:val="Paragraphedeliste"/>
        <w:numPr>
          <w:ilvl w:val="0"/>
          <w:numId w:val="1"/>
        </w:numPr>
        <w:autoSpaceDE w:val="0"/>
        <w:autoSpaceDN w:val="0"/>
        <w:adjustRightInd w:val="0"/>
        <w:spacing w:after="0" w:line="240" w:lineRule="auto"/>
        <w:jc w:val="both"/>
        <w:rPr>
          <w:b/>
          <w:bCs/>
          <w:lang w:val="en-US" w:eastAsia="fr-FR"/>
        </w:rPr>
      </w:pPr>
      <w:r>
        <w:rPr>
          <w:b/>
          <w:bCs/>
          <w:lang w:val="en-US" w:eastAsia="fr-FR"/>
        </w:rPr>
        <w:t>Project budget between 17 and 20M€ for the whole Consortium</w:t>
      </w:r>
    </w:p>
    <w:p w14:paraId="35D11637" w14:textId="77777777" w:rsidR="00912452" w:rsidRPr="004231E0" w:rsidRDefault="00912452" w:rsidP="00912452">
      <w:pPr>
        <w:pStyle w:val="Paragraphedeliste"/>
        <w:numPr>
          <w:ilvl w:val="0"/>
          <w:numId w:val="1"/>
        </w:numPr>
        <w:autoSpaceDE w:val="0"/>
        <w:autoSpaceDN w:val="0"/>
        <w:adjustRightInd w:val="0"/>
        <w:spacing w:after="0" w:line="240" w:lineRule="auto"/>
        <w:jc w:val="both"/>
        <w:rPr>
          <w:b/>
          <w:bCs/>
          <w:lang w:val="en-US" w:eastAsia="fr-FR"/>
        </w:rPr>
      </w:pPr>
      <w:r w:rsidRPr="004231E0">
        <w:rPr>
          <w:b/>
          <w:bCs/>
          <w:lang w:val="en-US"/>
        </w:rPr>
        <w:t xml:space="preserve">Deadline should be </w:t>
      </w:r>
      <w:r>
        <w:rPr>
          <w:b/>
          <w:bCs/>
          <w:lang w:val="en-US"/>
        </w:rPr>
        <w:t xml:space="preserve">by </w:t>
      </w:r>
      <w:r w:rsidRPr="004231E0">
        <w:rPr>
          <w:b/>
          <w:bCs/>
          <w:lang w:val="en-US"/>
        </w:rPr>
        <w:t xml:space="preserve">18th September 2025  </w:t>
      </w:r>
    </w:p>
    <w:p w14:paraId="314E069C" w14:textId="77777777" w:rsidR="00912452" w:rsidRPr="004231E0" w:rsidRDefault="00912452" w:rsidP="00912452">
      <w:pPr>
        <w:pStyle w:val="Paragraphedeliste"/>
        <w:rPr>
          <w:lang w:val="en-US" w:eastAsia="fr-FR"/>
        </w:rPr>
      </w:pPr>
    </w:p>
    <w:p w14:paraId="19606537" w14:textId="77777777" w:rsidR="00912452" w:rsidRPr="005D76DB" w:rsidRDefault="00912452" w:rsidP="00912452">
      <w:pPr>
        <w:pStyle w:val="Paragraphedeliste"/>
        <w:numPr>
          <w:ilvl w:val="0"/>
          <w:numId w:val="2"/>
        </w:numPr>
        <w:jc w:val="both"/>
        <w:rPr>
          <w:b/>
          <w:bCs/>
          <w:lang w:val="en-US"/>
        </w:rPr>
      </w:pPr>
      <w:r w:rsidRPr="005D76DB">
        <w:rPr>
          <w:b/>
          <w:bCs/>
          <w:lang w:val="en-US"/>
        </w:rPr>
        <w:t>HORIZON-HLTH-2025-01-CARE-01: End user-driven application of Generative Artificial Intelligence models in healthcare (GenAI4EU)</w:t>
      </w:r>
    </w:p>
    <w:p w14:paraId="2217C0F4" w14:textId="77777777" w:rsidR="00912452" w:rsidRPr="007F3345" w:rsidRDefault="00912452" w:rsidP="00912452">
      <w:pPr>
        <w:jc w:val="both"/>
        <w:rPr>
          <w:lang w:val="en-US"/>
        </w:rPr>
      </w:pPr>
      <w:r w:rsidRPr="007F3345">
        <w:t xml:space="preserve">This Horizon Europe call supports the development of virtual assistant solutions based on Generative Artificial Intelligence (GenAI), with the aim of enhancing equitable access to innovative, sustainable, and high-quality healthcare. It is a </w:t>
      </w:r>
      <w:r w:rsidRPr="007F3345">
        <w:rPr>
          <w:i/>
          <w:iCs/>
        </w:rPr>
        <w:t>Research and Innovation Action</w:t>
      </w:r>
      <w:r w:rsidRPr="007F3345">
        <w:t xml:space="preserve"> project, meaning it focuses on low Technology Readiness Levels (TRL 1 to 3), aiming to generate new knowledge and/or explore the feasibility of new technologies, products, services, or solutions. This may include the development and integration of technologies, as well as testing and validation of small-scale prototypes in laboratory or simulated environments. Projects are expected to design robust, ethical, and explainable AI models trained on multimodal health data (such as medical records, imaging, omics data, etc.), using federated governance approaches and involving healthcare professionals, patients, and caregivers from the early co-design phase. The developed solutions must demonstrate clinical added value in at least two medical use cases, compared to current standards of care, and aim to improve patient outcomes, enable more personalized care, and increase healthcare system efficiency. Projects should incorporate methodologies to ensure technical robustness, transparency, explainability, and bias mitigation, while addressing ethical, legal, and societal implications (ELSI). A strong European dimension is expected, with consortia including European AI industry stakeholders and use of existing European data infrastructures. Proposals must also include social sciences and humanities (SSH) expertise.</w:t>
      </w:r>
    </w:p>
    <w:p w14:paraId="04521F8B" w14:textId="77777777" w:rsidR="00912452" w:rsidRDefault="00912452" w:rsidP="00912452">
      <w:pPr>
        <w:pStyle w:val="Paragraphedeliste"/>
        <w:numPr>
          <w:ilvl w:val="0"/>
          <w:numId w:val="2"/>
        </w:numPr>
        <w:autoSpaceDE w:val="0"/>
        <w:autoSpaceDN w:val="0"/>
        <w:adjustRightInd w:val="0"/>
        <w:spacing w:after="0" w:line="240" w:lineRule="auto"/>
        <w:jc w:val="both"/>
        <w:rPr>
          <w:b/>
          <w:bCs/>
          <w:lang w:val="en-US" w:eastAsia="fr-FR"/>
        </w:rPr>
      </w:pPr>
      <w:r w:rsidRPr="005D76DB">
        <w:rPr>
          <w:b/>
          <w:bCs/>
          <w:lang w:val="en-US"/>
        </w:rPr>
        <w:t>HORIZON-HLTH-2025-01-TOOL-03: Leveraging multimodal data to advance Generative Artificial Intelligence applicability in biomedical research (GenAI4EU</w:t>
      </w:r>
    </w:p>
    <w:p w14:paraId="5D90D53C" w14:textId="77777777" w:rsidR="00912452" w:rsidRDefault="00912452" w:rsidP="00912452">
      <w:pPr>
        <w:autoSpaceDE w:val="0"/>
        <w:autoSpaceDN w:val="0"/>
        <w:adjustRightInd w:val="0"/>
        <w:spacing w:after="0" w:line="240" w:lineRule="auto"/>
        <w:jc w:val="both"/>
      </w:pPr>
    </w:p>
    <w:p w14:paraId="1851526A" w14:textId="77777777" w:rsidR="00912452" w:rsidRDefault="00912452" w:rsidP="00912452">
      <w:pPr>
        <w:autoSpaceDE w:val="0"/>
        <w:autoSpaceDN w:val="0"/>
        <w:adjustRightInd w:val="0"/>
        <w:spacing w:after="0" w:line="240" w:lineRule="auto"/>
        <w:jc w:val="both"/>
      </w:pPr>
      <w:r w:rsidRPr="00246CA5">
        <w:t>This Horizon Europe call aims to support research on Generative Artificial Intelligence (GenAI) models applied to predictive and personalized medicine. Projects are expected to develop or repurpose robust, explainable, and ethical AI models based on multimodal health data (e.g., imaging, genomics, medical records), with at least two concrete use cases demonstrating their scientific or potential clinical value. The objective is to strengthen European biomedical research capacities by proposing methodologies to assess the performance, intelligibility, transparency, robustness, and bias of the developed models, while addressing ethical, legal, and societal dimensions. Strong involvement of end users (researchers, clinicians) is expected, as well as the inclusion of social sciences and humanities. Emphasis is placed on open-source models where feasible, and on collaboration with the European Commission, particularly through the Joint Research Centre (JRC).</w:t>
      </w:r>
    </w:p>
    <w:p w14:paraId="7B37A048" w14:textId="77777777" w:rsidR="00B01994" w:rsidRDefault="00B01994" w:rsidP="00912452">
      <w:pPr>
        <w:autoSpaceDE w:val="0"/>
        <w:autoSpaceDN w:val="0"/>
        <w:adjustRightInd w:val="0"/>
        <w:spacing w:after="0" w:line="240" w:lineRule="auto"/>
        <w:jc w:val="both"/>
      </w:pPr>
    </w:p>
    <w:p w14:paraId="2A7EFD7C" w14:textId="77777777" w:rsidR="00B01994" w:rsidRDefault="00B01994" w:rsidP="00912452">
      <w:pPr>
        <w:autoSpaceDE w:val="0"/>
        <w:autoSpaceDN w:val="0"/>
        <w:adjustRightInd w:val="0"/>
        <w:spacing w:after="0" w:line="240" w:lineRule="auto"/>
        <w:jc w:val="both"/>
      </w:pPr>
    </w:p>
    <w:p w14:paraId="7D74BEC9" w14:textId="77777777" w:rsidR="00B01994" w:rsidRDefault="00B01994" w:rsidP="00912452">
      <w:pPr>
        <w:autoSpaceDE w:val="0"/>
        <w:autoSpaceDN w:val="0"/>
        <w:adjustRightInd w:val="0"/>
        <w:spacing w:after="0" w:line="240" w:lineRule="auto"/>
        <w:jc w:val="both"/>
      </w:pPr>
    </w:p>
    <w:p w14:paraId="52C1B375" w14:textId="77777777" w:rsidR="00B01994" w:rsidRPr="00246CA5" w:rsidRDefault="00B01994" w:rsidP="00912452">
      <w:pPr>
        <w:autoSpaceDE w:val="0"/>
        <w:autoSpaceDN w:val="0"/>
        <w:adjustRightInd w:val="0"/>
        <w:spacing w:after="0" w:line="240" w:lineRule="auto"/>
        <w:jc w:val="both"/>
      </w:pPr>
    </w:p>
    <w:p w14:paraId="02D36A67" w14:textId="77777777" w:rsidR="00912452" w:rsidRDefault="00912452" w:rsidP="00912452">
      <w:pPr>
        <w:keepNext/>
        <w:pBdr>
          <w:bottom w:val="single" w:sz="4" w:space="1" w:color="auto"/>
        </w:pBdr>
        <w:spacing w:before="400" w:after="280" w:line="240" w:lineRule="auto"/>
        <w:jc w:val="both"/>
        <w:outlineLvl w:val="2"/>
        <w:rPr>
          <w:rFonts w:ascii="Arial" w:eastAsia="Times New Roman" w:hAnsi="Arial" w:cs="Arial"/>
          <w:b/>
          <w:bCs/>
          <w:color w:val="7B8797"/>
          <w:kern w:val="0"/>
          <w:lang w:val="en-US" w:eastAsia="fr-FR"/>
          <w14:ligatures w14:val="none"/>
        </w:rPr>
      </w:pPr>
      <w:r>
        <w:rPr>
          <w:rFonts w:ascii="Arial" w:eastAsia="Times New Roman" w:hAnsi="Arial" w:cs="Arial"/>
          <w:b/>
          <w:bCs/>
          <w:color w:val="7B8797"/>
          <w:kern w:val="0"/>
          <w:lang w:val="en-US" w:eastAsia="fr-FR"/>
          <w14:ligatures w14:val="none"/>
        </w:rPr>
        <w:lastRenderedPageBreak/>
        <w:t>EDHEC’s p</w:t>
      </w:r>
      <w:r w:rsidRPr="003C0E6B">
        <w:rPr>
          <w:rFonts w:ascii="Arial" w:eastAsia="Times New Roman" w:hAnsi="Arial" w:cs="Arial"/>
          <w:b/>
          <w:bCs/>
          <w:color w:val="7B8797"/>
          <w:kern w:val="0"/>
          <w:lang w:val="en-US" w:eastAsia="fr-FR"/>
          <w14:ligatures w14:val="none"/>
        </w:rPr>
        <w:t>artners and roles</w:t>
      </w:r>
    </w:p>
    <w:p w14:paraId="03A5A63F" w14:textId="77777777" w:rsidR="00912452" w:rsidRPr="008969A0" w:rsidRDefault="00912452" w:rsidP="00912452">
      <w:pPr>
        <w:keepNext/>
        <w:pBdr>
          <w:bottom w:val="single" w:sz="4" w:space="1" w:color="7B8797"/>
        </w:pBdr>
        <w:spacing w:before="400" w:after="280" w:line="240" w:lineRule="auto"/>
        <w:jc w:val="both"/>
        <w:outlineLvl w:val="2"/>
        <w:rPr>
          <w:lang w:val="en-US"/>
        </w:rPr>
      </w:pPr>
      <w:r w:rsidRPr="008969A0">
        <w:rPr>
          <w:b/>
          <w:bCs/>
          <w:lang w:val="en-US"/>
        </w:rPr>
        <w:t>The Centre Antoine Lacassagne</w:t>
      </w:r>
      <w:r w:rsidRPr="008969A0">
        <w:rPr>
          <w:lang w:val="en-US"/>
        </w:rPr>
        <w:t>, stands as one of France’s foremost comprehensive cancer centers. Recognized among the top 100 oncology institutions worldwide and in the top 10 in France, it treats over 6,400 patients annually across all cancer types. Its advanced infrastructure includes one of Europe’s most comprehensive radiotherapy and imaging platforms and a pioneering proton therapy facility. Beyond clinical care, CAL is deeply engaged in clinical, translational, and health data research and offers robust teaching programs through its partnership with the University of Nice. Its multidisciplinary approach, combining medical excellence with innovation, positions it as a regional and European hub for oncology.</w:t>
      </w:r>
    </w:p>
    <w:p w14:paraId="04E7748B" w14:textId="77777777" w:rsidR="00912452" w:rsidRPr="008969A0" w:rsidRDefault="00912452" w:rsidP="00912452">
      <w:pPr>
        <w:keepNext/>
        <w:pBdr>
          <w:bottom w:val="single" w:sz="4" w:space="1" w:color="7B8797"/>
        </w:pBdr>
        <w:spacing w:before="400" w:after="280" w:line="240" w:lineRule="auto"/>
        <w:jc w:val="both"/>
        <w:outlineLvl w:val="2"/>
        <w:rPr>
          <w:lang w:val="en-US"/>
        </w:rPr>
      </w:pPr>
      <w:r w:rsidRPr="008969A0">
        <w:rPr>
          <w:lang w:val="en-US"/>
        </w:rPr>
        <w:t xml:space="preserve">In the context of both </w:t>
      </w:r>
      <w:r w:rsidRPr="005D76DB">
        <w:rPr>
          <w:b/>
          <w:bCs/>
          <w:lang w:val="en-US"/>
        </w:rPr>
        <w:t>HORIZON-HLTH-2025-01-CARE-01</w:t>
      </w:r>
      <w:r w:rsidRPr="008969A0">
        <w:rPr>
          <w:lang w:val="en-US"/>
        </w:rPr>
        <w:t xml:space="preserve"> projects, Centre Antoine Lacassagne can offer invaluable clinical value, datasets, and operational deployment environments. For the CARE</w:t>
      </w:r>
      <w:r w:rsidRPr="008969A0">
        <w:rPr>
          <w:lang w:val="en-US"/>
        </w:rPr>
        <w:noBreakHyphen/>
        <w:t>01 initiative, CAL provides real-world settings and patient pathways to co-design and validate virtual assistant tools aimed at improving communication, treatment adherence, and clinician support. CAL’s established protocols, data governance, and range of cancer modalities enable ethical, explainable, and user</w:t>
      </w:r>
      <w:r w:rsidRPr="008969A0">
        <w:rPr>
          <w:lang w:val="en-US"/>
        </w:rPr>
        <w:noBreakHyphen/>
        <w:t>centered AI solutions tailored to end</w:t>
      </w:r>
      <w:r w:rsidRPr="008969A0">
        <w:rPr>
          <w:lang w:val="en-US"/>
        </w:rPr>
        <w:noBreakHyphen/>
        <w:t xml:space="preserve">users. In the </w:t>
      </w:r>
      <w:r w:rsidRPr="005D76DB">
        <w:rPr>
          <w:b/>
          <w:bCs/>
          <w:lang w:val="en-US"/>
        </w:rPr>
        <w:t>HORIZON-HLTH-2025-01-TOOL-03</w:t>
      </w:r>
      <w:r w:rsidRPr="008969A0">
        <w:rPr>
          <w:lang w:val="en-US"/>
        </w:rPr>
        <w:t>research context, CAL contributes a rich multimodal data ecosystem—including imaging, genomic profiles, therapy outcomes, and electronic health records—alongside existing clinical trial frameworks. This comprehensive environment enables the development, testing, and benchmarking of transparent, bias-aware generative AI models for predictive and personalized oncology, bridging research innovations with tangible clinical deployment</w:t>
      </w:r>
      <w:r>
        <w:rPr>
          <w:lang w:val="en-US"/>
        </w:rPr>
        <w:t xml:space="preserve"> (</w:t>
      </w:r>
      <w:r w:rsidRPr="00874B5F">
        <w:rPr>
          <w:u w:val="single"/>
          <w:lang w:val="en-US"/>
        </w:rPr>
        <w:t>All of th</w:t>
      </w:r>
      <w:r>
        <w:rPr>
          <w:u w:val="single"/>
          <w:lang w:val="en-US"/>
        </w:rPr>
        <w:t>is information</w:t>
      </w:r>
      <w:r w:rsidRPr="00874B5F">
        <w:rPr>
          <w:u w:val="single"/>
          <w:lang w:val="en-US"/>
        </w:rPr>
        <w:t xml:space="preserve"> </w:t>
      </w:r>
      <w:proofErr w:type="gramStart"/>
      <w:r w:rsidRPr="00874B5F">
        <w:rPr>
          <w:u w:val="single"/>
          <w:lang w:val="en-US"/>
        </w:rPr>
        <w:t>need</w:t>
      </w:r>
      <w:proofErr w:type="gramEnd"/>
      <w:r w:rsidRPr="00874B5F">
        <w:rPr>
          <w:u w:val="single"/>
          <w:lang w:val="en-US"/>
        </w:rPr>
        <w:t xml:space="preserve"> to be confirmed)</w:t>
      </w:r>
    </w:p>
    <w:p w14:paraId="34CB1C09" w14:textId="77777777" w:rsidR="00912452" w:rsidRPr="00874B5F" w:rsidRDefault="00912452" w:rsidP="00912452">
      <w:pPr>
        <w:keepNext/>
        <w:pBdr>
          <w:bottom w:val="single" w:sz="4" w:space="1" w:color="7B8797"/>
        </w:pBdr>
        <w:spacing w:before="400" w:after="280" w:line="240" w:lineRule="auto"/>
        <w:jc w:val="both"/>
        <w:outlineLvl w:val="2"/>
        <w:rPr>
          <w:lang w:val="en-US"/>
        </w:rPr>
      </w:pPr>
      <w:r w:rsidRPr="00874B5F">
        <w:rPr>
          <w:lang w:val="en-US"/>
        </w:rPr>
        <w:t xml:space="preserve">For the </w:t>
      </w:r>
      <w:r w:rsidRPr="005D76DB">
        <w:rPr>
          <w:b/>
          <w:bCs/>
          <w:lang w:val="en-US"/>
        </w:rPr>
        <w:t>HORIZON-HLTH-2025-01-CARE-01</w:t>
      </w:r>
      <w:r>
        <w:rPr>
          <w:b/>
          <w:bCs/>
          <w:lang w:val="en-US"/>
        </w:rPr>
        <w:t xml:space="preserve"> </w:t>
      </w:r>
      <w:r w:rsidRPr="00874B5F">
        <w:rPr>
          <w:lang w:val="en-US"/>
        </w:rPr>
        <w:t>project, EURECOM can make decisive contributions by co</w:t>
      </w:r>
      <w:r w:rsidRPr="00874B5F">
        <w:rPr>
          <w:lang w:val="en-US"/>
        </w:rPr>
        <w:noBreakHyphen/>
        <w:t>designing GenAI virtual assistant solutions with clinicians and patients, drawing on its expertise in privacy</w:t>
      </w:r>
      <w:r w:rsidRPr="00874B5F">
        <w:rPr>
          <w:lang w:val="en-US"/>
        </w:rPr>
        <w:noBreakHyphen/>
        <w:t>preserving federated learning and explainable model architectures. Its experience in developing bias</w:t>
      </w:r>
      <w:r w:rsidRPr="00874B5F">
        <w:rPr>
          <w:lang w:val="en-US"/>
        </w:rPr>
        <w:noBreakHyphen/>
        <w:t xml:space="preserve">aware, robust AI systems and embedding ethical, legal, and social considerations from the outset ensures the deployment of virtual agents that are clinically effective, transparent, and trustworthy. Regarding </w:t>
      </w:r>
      <w:r w:rsidRPr="005D76DB">
        <w:rPr>
          <w:b/>
          <w:bCs/>
          <w:lang w:val="en-US"/>
        </w:rPr>
        <w:t>HORIZON-HLTH-2025-01-TOOL-03</w:t>
      </w:r>
      <w:r w:rsidRPr="00874B5F">
        <w:rPr>
          <w:lang w:val="en-US"/>
        </w:rPr>
        <w:t>, the institution’s strengths in integrating multimodal data—encompassing medical imaging, genomic profiles, and electronic health records—combined with its proven frameworks for performance evaluation, open</w:t>
      </w:r>
      <w:r w:rsidRPr="00874B5F">
        <w:rPr>
          <w:lang w:val="en-US"/>
        </w:rPr>
        <w:noBreakHyphen/>
        <w:t xml:space="preserve">source deployment, and model governance </w:t>
      </w:r>
      <w:proofErr w:type="gramStart"/>
      <w:r w:rsidRPr="00874B5F">
        <w:rPr>
          <w:lang w:val="en-US"/>
        </w:rPr>
        <w:t>align</w:t>
      </w:r>
      <w:proofErr w:type="gramEnd"/>
      <w:r w:rsidRPr="00874B5F">
        <w:rPr>
          <w:lang w:val="en-US"/>
        </w:rPr>
        <w:t xml:space="preserve"> naturally with the call’s requirements. EURECOM’s demonstrated ability to engage European research and industrial ecosystems, its experience with federated analytics platforms, and its commitment to open collaboration position it as a strategic partner capable of advancing the frontiers of generative AI in biomedical research.</w:t>
      </w:r>
      <w:r>
        <w:rPr>
          <w:lang w:val="en-US"/>
        </w:rPr>
        <w:t xml:space="preserve"> (</w:t>
      </w:r>
      <w:r w:rsidRPr="00874B5F">
        <w:rPr>
          <w:u w:val="single"/>
          <w:lang w:val="en-US"/>
        </w:rPr>
        <w:t>All of th</w:t>
      </w:r>
      <w:r>
        <w:rPr>
          <w:u w:val="single"/>
          <w:lang w:val="en-US"/>
        </w:rPr>
        <w:t>is information</w:t>
      </w:r>
      <w:r w:rsidRPr="00874B5F">
        <w:rPr>
          <w:u w:val="single"/>
          <w:lang w:val="en-US"/>
        </w:rPr>
        <w:t xml:space="preserve"> </w:t>
      </w:r>
      <w:proofErr w:type="gramStart"/>
      <w:r w:rsidRPr="00874B5F">
        <w:rPr>
          <w:u w:val="single"/>
          <w:lang w:val="en-US"/>
        </w:rPr>
        <w:t>need</w:t>
      </w:r>
      <w:proofErr w:type="gramEnd"/>
      <w:r w:rsidRPr="00874B5F">
        <w:rPr>
          <w:u w:val="single"/>
          <w:lang w:val="en-US"/>
        </w:rPr>
        <w:t xml:space="preserve"> to be confirmed)</w:t>
      </w:r>
    </w:p>
    <w:p w14:paraId="6EFF6480" w14:textId="77777777" w:rsidR="00912452" w:rsidRDefault="00912452" w:rsidP="00912452">
      <w:pPr>
        <w:keepNext/>
        <w:pBdr>
          <w:bottom w:val="single" w:sz="4" w:space="1" w:color="7B8797"/>
        </w:pBdr>
        <w:spacing w:before="400" w:after="280" w:line="240" w:lineRule="auto"/>
        <w:jc w:val="both"/>
        <w:outlineLvl w:val="2"/>
        <w:rPr>
          <w:rFonts w:ascii="Arial" w:eastAsia="Times New Roman" w:hAnsi="Arial" w:cs="Arial"/>
          <w:b/>
          <w:bCs/>
          <w:color w:val="7B8797"/>
          <w:kern w:val="0"/>
          <w:lang w:val="en-US" w:eastAsia="fr-FR"/>
          <w14:ligatures w14:val="none"/>
        </w:rPr>
      </w:pPr>
      <w:r>
        <w:rPr>
          <w:rFonts w:ascii="Arial" w:eastAsia="Times New Roman" w:hAnsi="Arial" w:cs="Arial"/>
          <w:b/>
          <w:bCs/>
          <w:color w:val="7B8797"/>
          <w:kern w:val="0"/>
          <w:lang w:val="en-US" w:eastAsia="fr-FR"/>
          <w14:ligatures w14:val="none"/>
        </w:rPr>
        <w:t xml:space="preserve">Discussion possible with ESMT Berlin and Charité Berlin  </w:t>
      </w:r>
    </w:p>
    <w:p w14:paraId="56BF7D88" w14:textId="77777777" w:rsidR="00912452" w:rsidRPr="00990407" w:rsidRDefault="00912452" w:rsidP="00912452">
      <w:pPr>
        <w:keepNext/>
        <w:pBdr>
          <w:bottom w:val="single" w:sz="4" w:space="1" w:color="7B8797"/>
        </w:pBdr>
        <w:spacing w:before="400" w:after="280" w:line="240" w:lineRule="auto"/>
        <w:jc w:val="both"/>
        <w:outlineLvl w:val="2"/>
        <w:rPr>
          <w:lang w:val="en-US"/>
        </w:rPr>
      </w:pPr>
      <w:r w:rsidRPr="00990407">
        <w:rPr>
          <w:lang w:val="en-US"/>
        </w:rPr>
        <w:t xml:space="preserve">ESMT Berlin </w:t>
      </w:r>
      <w:r>
        <w:rPr>
          <w:lang w:val="en-US"/>
        </w:rPr>
        <w:t>can contribute to the 2</w:t>
      </w:r>
      <w:r w:rsidRPr="00990407">
        <w:rPr>
          <w:lang w:val="en-US"/>
        </w:rPr>
        <w:t xml:space="preserve"> projects by leveraging its strong position at the intersection of deep tech innovation, entrepreneurship, and AI integration in healthcare.</w:t>
      </w:r>
      <w:r w:rsidRPr="002549DB">
        <w:t xml:space="preserve"> Charité – </w:t>
      </w:r>
      <w:proofErr w:type="spellStart"/>
      <w:r w:rsidRPr="002549DB">
        <w:t>Universitätsmedizin</w:t>
      </w:r>
      <w:proofErr w:type="spellEnd"/>
      <w:r w:rsidRPr="002549DB">
        <w:t xml:space="preserve"> Berlin, as one of Europe’s leading university hospitals and a pioneer in AI for medicine, significantly strengthens the projects by embedding cutting-edge AI research directly within clinical practice. Through its AI Hub and dedicated Lab for Artificial Intelligence in Medicine (CLAIM), Charité has demonstrated leadership in developing and validating machine and deep </w:t>
      </w:r>
      <w:r w:rsidRPr="002549DB">
        <w:lastRenderedPageBreak/>
        <w:t>learning models for personalized diagnosis</w:t>
      </w:r>
      <w:r>
        <w:rPr>
          <w:lang w:val="en-US"/>
        </w:rPr>
        <w:t xml:space="preserve">. </w:t>
      </w:r>
      <w:r w:rsidRPr="005D2578">
        <w:t>Partnering with Charité enables direct integration of virtual assistant tools and predictive GenAI models into clinical workflows</w:t>
      </w:r>
      <w:r>
        <w:t>.</w:t>
      </w:r>
    </w:p>
    <w:p w14:paraId="0B3FAE24" w14:textId="77777777" w:rsidR="00912452" w:rsidRDefault="00912452" w:rsidP="00912452">
      <w:pPr>
        <w:keepNext/>
        <w:pBdr>
          <w:bottom w:val="single" w:sz="4" w:space="1" w:color="7B8797"/>
        </w:pBdr>
        <w:spacing w:before="400" w:after="280" w:line="240" w:lineRule="auto"/>
        <w:jc w:val="both"/>
        <w:outlineLvl w:val="2"/>
        <w:rPr>
          <w:rFonts w:ascii="Arial" w:eastAsia="Times New Roman" w:hAnsi="Arial" w:cs="Arial"/>
          <w:b/>
          <w:bCs/>
          <w:color w:val="7B8797"/>
          <w:kern w:val="0"/>
          <w:lang w:val="en-US" w:eastAsia="fr-FR"/>
          <w14:ligatures w14:val="none"/>
        </w:rPr>
      </w:pPr>
      <w:r>
        <w:rPr>
          <w:rFonts w:ascii="Arial" w:eastAsia="Times New Roman" w:hAnsi="Arial" w:cs="Arial"/>
          <w:b/>
          <w:bCs/>
          <w:color w:val="7B8797"/>
          <w:kern w:val="0"/>
          <w:lang w:val="en-US" w:eastAsia="fr-FR"/>
          <w14:ligatures w14:val="none"/>
        </w:rPr>
        <w:t xml:space="preserve">Discussion with </w:t>
      </w:r>
      <w:proofErr w:type="spellStart"/>
      <w:r>
        <w:rPr>
          <w:rFonts w:ascii="Arial" w:eastAsia="Times New Roman" w:hAnsi="Arial" w:cs="Arial"/>
          <w:b/>
          <w:bCs/>
          <w:color w:val="7B8797"/>
          <w:kern w:val="0"/>
          <w:lang w:val="en-US" w:eastAsia="fr-FR"/>
          <w14:ligatures w14:val="none"/>
        </w:rPr>
        <w:t>Ethik</w:t>
      </w:r>
      <w:proofErr w:type="spellEnd"/>
      <w:r>
        <w:rPr>
          <w:rFonts w:ascii="Arial" w:eastAsia="Times New Roman" w:hAnsi="Arial" w:cs="Arial"/>
          <w:b/>
          <w:bCs/>
          <w:color w:val="7B8797"/>
          <w:kern w:val="0"/>
          <w:lang w:val="en-US" w:eastAsia="fr-FR"/>
          <w14:ligatures w14:val="none"/>
        </w:rPr>
        <w:t xml:space="preserve"> IA  </w:t>
      </w:r>
    </w:p>
    <w:p w14:paraId="2508457D" w14:textId="77777777" w:rsidR="00912452" w:rsidRDefault="00912452" w:rsidP="00912452">
      <w:pPr>
        <w:keepNext/>
        <w:pBdr>
          <w:bottom w:val="single" w:sz="4" w:space="1" w:color="7B8797"/>
        </w:pBdr>
        <w:spacing w:before="400" w:after="280" w:line="240" w:lineRule="auto"/>
        <w:jc w:val="both"/>
        <w:outlineLvl w:val="2"/>
        <w:rPr>
          <w:lang w:val="en-US"/>
        </w:rPr>
      </w:pPr>
      <w:proofErr w:type="spellStart"/>
      <w:r w:rsidRPr="00DD5302">
        <w:rPr>
          <w:b/>
          <w:bCs/>
          <w:lang w:val="en-US"/>
        </w:rPr>
        <w:t>Ethik</w:t>
      </w:r>
      <w:proofErr w:type="spellEnd"/>
      <w:r w:rsidRPr="00DD5302">
        <w:rPr>
          <w:b/>
          <w:bCs/>
          <w:lang w:val="en-US"/>
        </w:rPr>
        <w:noBreakHyphen/>
        <w:t>IA</w:t>
      </w:r>
      <w:r w:rsidRPr="007F05A8">
        <w:rPr>
          <w:lang w:val="en-US"/>
        </w:rPr>
        <w:t>, the leading specialist in AI ethics and “Human Oversight” for the healthcare sector, is eager to contribute to the ethical dimension of this project. With demonstrated expertise in guiding AI development and deployment within healthcare institutions, they are well positioned to support both compliance with emerging European AI and bioethics regulations and the integration of robust human oversight mechanisms throughout the AI lifecycle</w:t>
      </w:r>
      <w:r>
        <w:rPr>
          <w:lang w:val="en-US"/>
        </w:rPr>
        <w:t xml:space="preserve">. </w:t>
      </w:r>
    </w:p>
    <w:p w14:paraId="495E9EE8" w14:textId="77777777" w:rsidR="00912452" w:rsidRPr="00DD5302" w:rsidRDefault="00912452" w:rsidP="00912452">
      <w:pPr>
        <w:keepNext/>
        <w:pBdr>
          <w:bottom w:val="single" w:sz="4" w:space="1" w:color="7B8797"/>
        </w:pBdr>
        <w:spacing w:before="400" w:after="280" w:line="240" w:lineRule="auto"/>
        <w:jc w:val="both"/>
        <w:outlineLvl w:val="2"/>
        <w:rPr>
          <w:lang w:val="en-US"/>
        </w:rPr>
      </w:pPr>
      <w:r w:rsidRPr="00DD5302">
        <w:rPr>
          <w:lang w:val="en-US"/>
        </w:rPr>
        <w:t xml:space="preserve">By partnering with </w:t>
      </w:r>
      <w:proofErr w:type="spellStart"/>
      <w:r w:rsidRPr="00DD5302">
        <w:rPr>
          <w:lang w:val="en-US"/>
        </w:rPr>
        <w:t>Ethik</w:t>
      </w:r>
      <w:proofErr w:type="spellEnd"/>
      <w:r w:rsidRPr="00DD5302">
        <w:rPr>
          <w:lang w:val="en-US"/>
        </w:rPr>
        <w:noBreakHyphen/>
        <w:t xml:space="preserve">IA, the project can benefit from their proven methodologies, including audit frameworks, compliance platforms, and tailored training programs, all designed to embed ethical governance from design through real-world use. Their involvement ensures that the GenAI solutions developed will be transparent, fair, accountable, and aligned with the principle of preserving human dignity—key requirements under both the AI Act and current bioethics </w:t>
      </w:r>
      <w:proofErr w:type="gramStart"/>
      <w:r w:rsidRPr="00DD5302">
        <w:rPr>
          <w:lang w:val="en-US"/>
        </w:rPr>
        <w:t>legislation .</w:t>
      </w:r>
      <w:proofErr w:type="gramEnd"/>
    </w:p>
    <w:p w14:paraId="4E030398" w14:textId="77777777" w:rsidR="00912452" w:rsidRDefault="00912452" w:rsidP="00912452">
      <w:pPr>
        <w:keepNext/>
        <w:pBdr>
          <w:bottom w:val="single" w:sz="4" w:space="1" w:color="7B8797"/>
        </w:pBdr>
        <w:spacing w:before="400" w:after="280" w:line="240" w:lineRule="auto"/>
        <w:jc w:val="both"/>
        <w:outlineLvl w:val="2"/>
        <w:rPr>
          <w:rFonts w:ascii="Arial" w:eastAsia="Times New Roman" w:hAnsi="Arial" w:cs="Arial"/>
          <w:b/>
          <w:bCs/>
          <w:color w:val="7B8797"/>
          <w:kern w:val="0"/>
          <w:lang w:val="en-US" w:eastAsia="fr-FR"/>
          <w14:ligatures w14:val="none"/>
        </w:rPr>
      </w:pPr>
      <w:r>
        <w:rPr>
          <w:rFonts w:ascii="Arial" w:eastAsia="Times New Roman" w:hAnsi="Arial" w:cs="Arial"/>
          <w:b/>
          <w:bCs/>
          <w:color w:val="7B8797"/>
          <w:kern w:val="0"/>
          <w:lang w:val="en-US" w:eastAsia="fr-FR"/>
          <w14:ligatures w14:val="none"/>
        </w:rPr>
        <w:t>EDHEC’s expertise</w:t>
      </w:r>
    </w:p>
    <w:p w14:paraId="64ADCBD6" w14:textId="77777777" w:rsidR="00912452" w:rsidRDefault="00912452" w:rsidP="00912452">
      <w:pPr>
        <w:pStyle w:val="Paragraphedeliste"/>
        <w:numPr>
          <w:ilvl w:val="0"/>
          <w:numId w:val="2"/>
        </w:numPr>
        <w:jc w:val="both"/>
        <w:rPr>
          <w:b/>
          <w:bCs/>
          <w:lang w:val="en-US"/>
        </w:rPr>
      </w:pPr>
      <w:r w:rsidRPr="005D76DB">
        <w:rPr>
          <w:b/>
          <w:bCs/>
          <w:lang w:val="en-US"/>
        </w:rPr>
        <w:t>HORIZON-HLTH-2025-01-CARE-01: End user-driven application of Generative Artificial Intelligence models in healthcare (GenAI4EU)</w:t>
      </w:r>
    </w:p>
    <w:p w14:paraId="7A71C6FA"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b/>
          <w:bCs/>
          <w:kern w:val="2"/>
          <w:sz w:val="22"/>
          <w:szCs w:val="22"/>
          <w:lang w:val="en-GB" w:eastAsia="en-US"/>
          <w14:ligatures w14:val="standardContextual"/>
        </w:rPr>
        <w:t>As an academic partner in the Horizon Europe GenAI4EU initiative</w:t>
      </w:r>
      <w:r w:rsidRPr="00005906">
        <w:rPr>
          <w:rFonts w:asciiTheme="minorHAnsi" w:eastAsiaTheme="minorHAnsi" w:hAnsiTheme="minorHAnsi" w:cstheme="minorBidi"/>
          <w:kern w:val="2"/>
          <w:sz w:val="22"/>
          <w:szCs w:val="22"/>
          <w:lang w:val="en-GB" w:eastAsia="en-US"/>
          <w14:ligatures w14:val="standardContextual"/>
        </w:rPr>
        <w:t xml:space="preserve">, EDHEC Business School’s “Management in Innovative Health” Chair will leverage its interdisciplinary expertise to </w:t>
      </w:r>
      <w:r w:rsidRPr="00005906">
        <w:rPr>
          <w:rFonts w:asciiTheme="minorHAnsi" w:eastAsiaTheme="minorHAnsi" w:hAnsiTheme="minorHAnsi" w:cstheme="minorBidi"/>
          <w:b/>
          <w:bCs/>
          <w:kern w:val="2"/>
          <w:sz w:val="22"/>
          <w:szCs w:val="22"/>
          <w:lang w:val="en-GB" w:eastAsia="en-US"/>
          <w14:ligatures w14:val="standardContextual"/>
        </w:rPr>
        <w:t>enhance patient experience and enable personalized medicine</w:t>
      </w:r>
      <w:r w:rsidRPr="00005906">
        <w:rPr>
          <w:rFonts w:asciiTheme="minorHAnsi" w:eastAsiaTheme="minorHAnsi" w:hAnsiTheme="minorHAnsi" w:cstheme="minorBidi"/>
          <w:kern w:val="2"/>
          <w:sz w:val="22"/>
          <w:szCs w:val="22"/>
          <w:lang w:val="en-GB" w:eastAsia="en-US"/>
          <w14:ligatures w14:val="standardContextual"/>
        </w:rPr>
        <w:t xml:space="preserve"> through generative AI. The chair brings together specialists in digital health, management science, ethics, and health systems transformation to ensure that AI-driven healthcare solutions are </w:t>
      </w:r>
      <w:r w:rsidRPr="00005906">
        <w:rPr>
          <w:rFonts w:asciiTheme="minorHAnsi" w:eastAsiaTheme="minorHAnsi" w:hAnsiTheme="minorHAnsi" w:cstheme="minorBidi"/>
          <w:b/>
          <w:bCs/>
          <w:kern w:val="2"/>
          <w:sz w:val="22"/>
          <w:szCs w:val="22"/>
          <w:lang w:val="en-GB" w:eastAsia="en-US"/>
          <w14:ligatures w14:val="standardContextual"/>
        </w:rPr>
        <w:t>designed around end-users – patients and clinicians – and implemented in a socially responsible manner</w:t>
      </w:r>
      <w:r w:rsidRPr="00005906">
        <w:rPr>
          <w:rFonts w:asciiTheme="minorHAnsi" w:eastAsiaTheme="minorHAnsi" w:hAnsiTheme="minorHAnsi" w:cstheme="minorBidi"/>
          <w:kern w:val="2"/>
          <w:sz w:val="22"/>
          <w:szCs w:val="22"/>
          <w:lang w:val="en-GB" w:eastAsia="en-US"/>
          <w14:ligatures w14:val="standardContextual"/>
        </w:rPr>
        <w:t xml:space="preserve">. By focusing on how people engage with digital health tools and by addressing real-world </w:t>
      </w:r>
      <w:proofErr w:type="spellStart"/>
      <w:r w:rsidRPr="00005906">
        <w:rPr>
          <w:rFonts w:asciiTheme="minorHAnsi" w:eastAsiaTheme="minorHAnsi" w:hAnsiTheme="minorHAnsi" w:cstheme="minorBidi"/>
          <w:kern w:val="2"/>
          <w:sz w:val="22"/>
          <w:szCs w:val="22"/>
          <w:lang w:val="en-GB" w:eastAsia="en-US"/>
          <w14:ligatures w14:val="standardContextual"/>
        </w:rPr>
        <w:t>behavioral</w:t>
      </w:r>
      <w:proofErr w:type="spellEnd"/>
      <w:r w:rsidRPr="00005906">
        <w:rPr>
          <w:rFonts w:asciiTheme="minorHAnsi" w:eastAsiaTheme="minorHAnsi" w:hAnsiTheme="minorHAnsi" w:cstheme="minorBidi"/>
          <w:kern w:val="2"/>
          <w:sz w:val="22"/>
          <w:szCs w:val="22"/>
          <w:lang w:val="en-GB" w:eastAsia="en-US"/>
          <w14:ligatures w14:val="standardContextual"/>
        </w:rPr>
        <w:t xml:space="preserve"> and organizational barriers, the chair aligns perfectly with GenAI4EU’s end-user-driven mission.</w:t>
      </w:r>
    </w:p>
    <w:p w14:paraId="79EB56C8" w14:textId="77777777" w:rsidR="00912452" w:rsidRPr="00005906" w:rsidRDefault="00912452" w:rsidP="00912452">
      <w:pPr>
        <w:pStyle w:val="Titre2"/>
        <w:ind w:left="720"/>
        <w:jc w:val="both"/>
        <w:rPr>
          <w:rFonts w:asciiTheme="minorHAnsi" w:eastAsiaTheme="minorHAnsi" w:hAnsiTheme="minorHAnsi" w:cstheme="minorBidi"/>
          <w:b/>
          <w:bCs/>
          <w:i/>
          <w:iCs/>
          <w:color w:val="auto"/>
          <w:sz w:val="22"/>
          <w:szCs w:val="22"/>
        </w:rPr>
      </w:pPr>
      <w:r w:rsidRPr="00005906">
        <w:rPr>
          <w:rFonts w:asciiTheme="minorHAnsi" w:eastAsiaTheme="minorHAnsi" w:hAnsiTheme="minorHAnsi" w:cstheme="minorBidi"/>
          <w:b/>
          <w:bCs/>
          <w:i/>
          <w:iCs/>
          <w:color w:val="auto"/>
          <w:sz w:val="22"/>
          <w:szCs w:val="22"/>
        </w:rPr>
        <w:t>Interdisciplinary Expertise in Digital Health and Ethics</w:t>
      </w:r>
    </w:p>
    <w:p w14:paraId="546D417F"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The EDHEC Health Chair offers a unique blend of competencies spanning healthcare management</w:t>
      </w:r>
      <w:r>
        <w:rPr>
          <w:rFonts w:asciiTheme="minorHAnsi" w:eastAsiaTheme="minorHAnsi" w:hAnsiTheme="minorHAnsi" w:cstheme="minorBidi"/>
          <w:kern w:val="2"/>
          <w:sz w:val="22"/>
          <w:szCs w:val="22"/>
          <w:lang w:val="en-GB" w:eastAsia="en-US"/>
          <w14:ligatures w14:val="standardContextual"/>
        </w:rPr>
        <w:t xml:space="preserve"> and</w:t>
      </w:r>
      <w:r w:rsidRPr="00005906">
        <w:rPr>
          <w:rFonts w:asciiTheme="minorHAnsi" w:eastAsiaTheme="minorHAnsi" w:hAnsiTheme="minorHAnsi" w:cstheme="minorBidi"/>
          <w:kern w:val="2"/>
          <w:sz w:val="22"/>
          <w:szCs w:val="22"/>
          <w:lang w:val="en-GB" w:eastAsia="en-US"/>
          <w14:ligatures w14:val="standardContextual"/>
        </w:rPr>
        <w:t xml:space="preserve"> technology adoption. It studies how the digital transformation of the medical sector impacts all stakeholders – from patients to providers – and how this transformation </w:t>
      </w:r>
      <w:r w:rsidRPr="00005906">
        <w:rPr>
          <w:rFonts w:asciiTheme="minorHAnsi" w:eastAsiaTheme="minorHAnsi" w:hAnsiTheme="minorHAnsi" w:cstheme="minorBidi"/>
          <w:b/>
          <w:bCs/>
          <w:kern w:val="2"/>
          <w:sz w:val="22"/>
          <w:szCs w:val="22"/>
          <w:lang w:val="en-GB" w:eastAsia="en-US"/>
          <w14:ligatures w14:val="standardContextual"/>
        </w:rPr>
        <w:t>“raises ethical questions” while demanding scrutiny of the uses and adoption of new technologies by patients and healthcare</w:t>
      </w:r>
      <w:r w:rsidRPr="00005906">
        <w:rPr>
          <w:rFonts w:asciiTheme="minorHAnsi" w:eastAsiaTheme="minorHAnsi" w:hAnsiTheme="minorHAnsi" w:cstheme="minorBidi"/>
          <w:kern w:val="2"/>
          <w:sz w:val="22"/>
          <w:szCs w:val="22"/>
          <w:lang w:val="en-GB" w:eastAsia="en-US"/>
          <w14:ligatures w14:val="standardContextual"/>
        </w:rPr>
        <w:t xml:space="preserve">. The chair’s research examines the entire healthcare value chain to identify where digital innovations add value and how users perceive. This holistic approach means </w:t>
      </w:r>
      <w:r w:rsidRPr="00005906">
        <w:rPr>
          <w:rFonts w:asciiTheme="minorHAnsi" w:eastAsiaTheme="minorHAnsi" w:hAnsiTheme="minorHAnsi" w:cstheme="minorBidi"/>
          <w:b/>
          <w:bCs/>
          <w:kern w:val="2"/>
          <w:sz w:val="22"/>
          <w:szCs w:val="22"/>
          <w:lang w:val="en-GB" w:eastAsia="en-US"/>
          <w14:ligatures w14:val="standardContextual"/>
        </w:rPr>
        <w:t>human, organizational, and technological challenges</w:t>
      </w:r>
      <w:r w:rsidRPr="00005906">
        <w:rPr>
          <w:rFonts w:asciiTheme="minorHAnsi" w:eastAsiaTheme="minorHAnsi" w:hAnsiTheme="minorHAnsi" w:cstheme="minorBidi"/>
          <w:kern w:val="2"/>
          <w:sz w:val="22"/>
          <w:szCs w:val="22"/>
          <w:lang w:val="en-GB" w:eastAsia="en-US"/>
          <w14:ligatures w14:val="standardContextual"/>
        </w:rPr>
        <w:t xml:space="preserve"> are investigated in. The Chair contribution is inherently multi-disciplinary: a recent studied m</w:t>
      </w:r>
      <w:r>
        <w:rPr>
          <w:rFonts w:asciiTheme="minorHAnsi" w:eastAsiaTheme="minorHAnsi" w:hAnsiTheme="minorHAnsi" w:cstheme="minorBidi"/>
          <w:kern w:val="2"/>
          <w:sz w:val="22"/>
          <w:szCs w:val="22"/>
          <w:lang w:val="en-GB" w:eastAsia="en-US"/>
          <w14:ligatures w14:val="standardContextual"/>
        </w:rPr>
        <w:t xml:space="preserve">obilizing 1000 French </w:t>
      </w:r>
      <w:proofErr w:type="spellStart"/>
      <w:r>
        <w:rPr>
          <w:rFonts w:asciiTheme="minorHAnsi" w:eastAsiaTheme="minorHAnsi" w:hAnsiTheme="minorHAnsi" w:cstheme="minorBidi"/>
          <w:kern w:val="2"/>
          <w:sz w:val="22"/>
          <w:szCs w:val="22"/>
          <w:lang w:val="en-GB" w:eastAsia="en-US"/>
          <w14:ligatures w14:val="standardContextual"/>
        </w:rPr>
        <w:t>citicens</w:t>
      </w:r>
      <w:proofErr w:type="spellEnd"/>
      <w:r>
        <w:rPr>
          <w:rFonts w:asciiTheme="minorHAnsi" w:eastAsiaTheme="minorHAnsi" w:hAnsiTheme="minorHAnsi" w:cstheme="minorBidi"/>
          <w:kern w:val="2"/>
          <w:sz w:val="22"/>
          <w:szCs w:val="22"/>
          <w:lang w:val="en-GB" w:eastAsia="en-US"/>
          <w14:ligatures w14:val="standardContextual"/>
        </w:rPr>
        <w:t xml:space="preserve"> </w:t>
      </w:r>
      <w:r w:rsidRPr="00005906">
        <w:rPr>
          <w:rFonts w:asciiTheme="minorHAnsi" w:eastAsiaTheme="minorHAnsi" w:hAnsiTheme="minorHAnsi" w:cstheme="minorBidi"/>
          <w:kern w:val="2"/>
          <w:sz w:val="22"/>
          <w:szCs w:val="22"/>
          <w:lang w:val="en-GB" w:eastAsia="en-US"/>
          <w14:ligatures w14:val="standardContextual"/>
        </w:rPr>
        <w:t>, tackl</w:t>
      </w:r>
      <w:r>
        <w:rPr>
          <w:rFonts w:asciiTheme="minorHAnsi" w:eastAsiaTheme="minorHAnsi" w:hAnsiTheme="minorHAnsi" w:cstheme="minorBidi"/>
          <w:kern w:val="2"/>
          <w:sz w:val="22"/>
          <w:szCs w:val="22"/>
          <w:lang w:val="en-GB" w:eastAsia="en-US"/>
          <w14:ligatures w14:val="standardContextual"/>
        </w:rPr>
        <w:t>ed</w:t>
      </w:r>
      <w:r w:rsidRPr="00005906">
        <w:rPr>
          <w:rFonts w:asciiTheme="minorHAnsi" w:eastAsiaTheme="minorHAnsi" w:hAnsiTheme="minorHAnsi" w:cstheme="minorBidi"/>
          <w:kern w:val="2"/>
          <w:sz w:val="22"/>
          <w:szCs w:val="22"/>
          <w:lang w:val="en-GB" w:eastAsia="en-US"/>
          <w14:ligatures w14:val="standardContextual"/>
        </w:rPr>
        <w:t xml:space="preserve"> issues like digital vulnerability</w:t>
      </w:r>
      <w:r>
        <w:rPr>
          <w:rFonts w:asciiTheme="minorHAnsi" w:eastAsiaTheme="minorHAnsi" w:hAnsiTheme="minorHAnsi" w:cstheme="minorBidi"/>
          <w:kern w:val="2"/>
          <w:sz w:val="22"/>
          <w:szCs w:val="22"/>
          <w:lang w:val="en-GB" w:eastAsia="en-US"/>
          <w14:ligatures w14:val="standardContextual"/>
        </w:rPr>
        <w:t xml:space="preserve"> and demonstrated the importance of</w:t>
      </w:r>
      <w:r w:rsidRPr="00005906">
        <w:rPr>
          <w:rFonts w:asciiTheme="minorHAnsi" w:eastAsiaTheme="minorHAnsi" w:hAnsiTheme="minorHAnsi" w:cstheme="minorBidi"/>
          <w:kern w:val="2"/>
          <w:sz w:val="22"/>
          <w:szCs w:val="22"/>
          <w:lang w:val="en-GB" w:eastAsia="en-US"/>
          <w14:ligatures w14:val="standardContextual"/>
        </w:rPr>
        <w:t xml:space="preserve"> </w:t>
      </w:r>
      <w:r w:rsidRPr="00005906">
        <w:rPr>
          <w:rFonts w:asciiTheme="minorHAnsi" w:eastAsiaTheme="minorHAnsi" w:hAnsiTheme="minorHAnsi" w:cstheme="minorBidi"/>
          <w:b/>
          <w:bCs/>
          <w:kern w:val="2"/>
          <w:sz w:val="22"/>
          <w:szCs w:val="22"/>
          <w:lang w:val="en-GB" w:eastAsia="en-US"/>
          <w14:ligatures w14:val="standardContextual"/>
        </w:rPr>
        <w:t>“requir</w:t>
      </w:r>
      <w:r>
        <w:rPr>
          <w:rFonts w:asciiTheme="minorHAnsi" w:eastAsiaTheme="minorHAnsi" w:hAnsiTheme="minorHAnsi" w:cstheme="minorBidi"/>
          <w:b/>
          <w:bCs/>
          <w:kern w:val="2"/>
          <w:sz w:val="22"/>
          <w:szCs w:val="22"/>
          <w:lang w:val="en-GB" w:eastAsia="en-US"/>
          <w14:ligatures w14:val="standardContextual"/>
        </w:rPr>
        <w:t>ing</w:t>
      </w:r>
      <w:r w:rsidRPr="00005906">
        <w:rPr>
          <w:rFonts w:asciiTheme="minorHAnsi" w:eastAsiaTheme="minorHAnsi" w:hAnsiTheme="minorHAnsi" w:cstheme="minorBidi"/>
          <w:b/>
          <w:bCs/>
          <w:kern w:val="2"/>
          <w:sz w:val="22"/>
          <w:szCs w:val="22"/>
          <w:lang w:val="en-GB" w:eastAsia="en-US"/>
          <w14:ligatures w14:val="standardContextual"/>
        </w:rPr>
        <w:t xml:space="preserve"> a multi-disciplinary approach at the crossroads of ethics and the social and human sciences”</w:t>
      </w:r>
      <w:hyperlink r:id="rId6" w:anchor=":~:text=Vulnerability%20is%20therefore%20a%20complex,the%20social%20and%20human%20sciences" w:tgtFrame="_blank" w:history="1">
        <w:r w:rsidRPr="00005906">
          <w:rPr>
            <w:rFonts w:asciiTheme="minorHAnsi" w:eastAsiaTheme="minorHAnsi" w:hAnsiTheme="minorHAnsi" w:cstheme="minorBidi"/>
            <w:kern w:val="2"/>
            <w:sz w:val="22"/>
            <w:szCs w:val="22"/>
            <w:lang w:val="en-GB" w:eastAsia="en-US"/>
            <w14:ligatures w14:val="standardContextual"/>
          </w:rPr>
          <w:t>edhec.edu</w:t>
        </w:r>
      </w:hyperlink>
      <w:r w:rsidRPr="00005906">
        <w:rPr>
          <w:rFonts w:asciiTheme="minorHAnsi" w:eastAsiaTheme="minorHAnsi" w:hAnsiTheme="minorHAnsi" w:cstheme="minorBidi"/>
          <w:kern w:val="2"/>
          <w:sz w:val="22"/>
          <w:szCs w:val="22"/>
          <w:lang w:val="en-GB" w:eastAsia="en-US"/>
          <w14:ligatures w14:val="standardContextual"/>
        </w:rPr>
        <w:t>. By uniting expertise in health systems management, data privacy, and ethical design, the chair is well-equipped to guide generative AI solutions that are not only innovative but also responsible and aligned with societal values.</w:t>
      </w:r>
    </w:p>
    <w:p w14:paraId="7E76954D" w14:textId="77777777" w:rsidR="00912452" w:rsidRPr="00005906" w:rsidRDefault="00912452" w:rsidP="00912452">
      <w:pPr>
        <w:pStyle w:val="Titre2"/>
        <w:ind w:left="720"/>
        <w:jc w:val="both"/>
        <w:rPr>
          <w:rFonts w:asciiTheme="minorHAnsi" w:eastAsiaTheme="minorHAnsi" w:hAnsiTheme="minorHAnsi" w:cstheme="minorBidi"/>
          <w:b/>
          <w:bCs/>
          <w:i/>
          <w:iCs/>
          <w:color w:val="auto"/>
          <w:sz w:val="22"/>
          <w:szCs w:val="22"/>
        </w:rPr>
      </w:pPr>
      <w:r w:rsidRPr="00005906">
        <w:rPr>
          <w:rFonts w:asciiTheme="minorHAnsi" w:eastAsiaTheme="minorHAnsi" w:hAnsiTheme="minorHAnsi" w:cstheme="minorBidi"/>
          <w:b/>
          <w:bCs/>
          <w:i/>
          <w:iCs/>
          <w:color w:val="auto"/>
          <w:sz w:val="22"/>
          <w:szCs w:val="22"/>
        </w:rPr>
        <w:lastRenderedPageBreak/>
        <w:t>Track Record in Patient Experience, PROMs/PREMs, and Empowerment</w:t>
      </w:r>
    </w:p>
    <w:p w14:paraId="264AA7F4"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b/>
          <w:bCs/>
          <w:kern w:val="2"/>
          <w:sz w:val="22"/>
          <w:szCs w:val="22"/>
          <w:lang w:val="en-GB" w:eastAsia="en-US"/>
          <w14:ligatures w14:val="standardContextual"/>
        </w:rPr>
        <w:t xml:space="preserve">Placing patients at the </w:t>
      </w:r>
      <w:proofErr w:type="spellStart"/>
      <w:r w:rsidRPr="00005906">
        <w:rPr>
          <w:rFonts w:asciiTheme="minorHAnsi" w:eastAsiaTheme="minorHAnsi" w:hAnsiTheme="minorHAnsi" w:cstheme="minorBidi"/>
          <w:b/>
          <w:bCs/>
          <w:kern w:val="2"/>
          <w:sz w:val="22"/>
          <w:szCs w:val="22"/>
          <w:lang w:val="en-GB" w:eastAsia="en-US"/>
          <w14:ligatures w14:val="standardContextual"/>
        </w:rPr>
        <w:t>center</w:t>
      </w:r>
      <w:proofErr w:type="spellEnd"/>
      <w:r w:rsidRPr="00005906">
        <w:rPr>
          <w:rFonts w:asciiTheme="minorHAnsi" w:eastAsiaTheme="minorHAnsi" w:hAnsiTheme="minorHAnsi" w:cstheme="minorBidi"/>
          <w:b/>
          <w:bCs/>
          <w:kern w:val="2"/>
          <w:sz w:val="22"/>
          <w:szCs w:val="22"/>
          <w:lang w:val="en-GB" w:eastAsia="en-US"/>
          <w14:ligatures w14:val="standardContextual"/>
        </w:rPr>
        <w:t xml:space="preserve"> of innovation</w:t>
      </w:r>
      <w:r w:rsidRPr="00005906">
        <w:rPr>
          <w:rFonts w:asciiTheme="minorHAnsi" w:eastAsiaTheme="minorHAnsi" w:hAnsiTheme="minorHAnsi" w:cstheme="minorBidi"/>
          <w:kern w:val="2"/>
          <w:sz w:val="22"/>
          <w:szCs w:val="22"/>
          <w:lang w:val="en-GB" w:eastAsia="en-US"/>
          <w14:ligatures w14:val="standardContextual"/>
        </w:rPr>
        <w:t xml:space="preserve"> of the chair’s work. The team </w:t>
      </w:r>
      <w:r>
        <w:rPr>
          <w:rFonts w:asciiTheme="minorHAnsi" w:eastAsiaTheme="minorHAnsi" w:hAnsiTheme="minorHAnsi" w:cstheme="minorBidi"/>
          <w:kern w:val="2"/>
          <w:sz w:val="22"/>
          <w:szCs w:val="22"/>
          <w:lang w:val="en-GB" w:eastAsia="en-US"/>
          <w14:ligatures w14:val="standardContextual"/>
        </w:rPr>
        <w:t xml:space="preserve">is exploring the role and impact of </w:t>
      </w:r>
      <w:r w:rsidRPr="00005906">
        <w:rPr>
          <w:rFonts w:asciiTheme="minorHAnsi" w:eastAsiaTheme="minorHAnsi" w:hAnsiTheme="minorHAnsi" w:cstheme="minorBidi"/>
          <w:kern w:val="2"/>
          <w:sz w:val="22"/>
          <w:szCs w:val="22"/>
          <w:lang w:val="en-GB" w:eastAsia="en-US"/>
          <w14:ligatures w14:val="standardContextual"/>
        </w:rPr>
        <w:t xml:space="preserve">Patient-Reported Outcome Measures (PROMs) and Patient-Reported Experience Measures (PREMs) as tools to capture what truly matters to patients. These indicators provide invaluable insights into the real impact of treatments on quality of life and how patients experience. The chair integrates PROMs and PREMs into its analysis of health innovations and their perception by different actors, using these measures to assess and improve patient experience across the care pathway. For example, </w:t>
      </w:r>
      <w:r w:rsidRPr="00005906">
        <w:rPr>
          <w:rFonts w:asciiTheme="minorHAnsi" w:eastAsiaTheme="minorHAnsi" w:hAnsiTheme="minorHAnsi" w:cstheme="minorBidi"/>
          <w:b/>
          <w:bCs/>
          <w:kern w:val="2"/>
          <w:sz w:val="22"/>
          <w:szCs w:val="22"/>
          <w:lang w:val="en-GB" w:eastAsia="en-US"/>
          <w14:ligatures w14:val="standardContextual"/>
        </w:rPr>
        <w:t>our researchers</w:t>
      </w:r>
      <w:r>
        <w:rPr>
          <w:rFonts w:asciiTheme="minorHAnsi" w:eastAsiaTheme="minorHAnsi" w:hAnsiTheme="minorHAnsi" w:cstheme="minorBidi"/>
          <w:b/>
          <w:bCs/>
          <w:kern w:val="2"/>
          <w:sz w:val="22"/>
          <w:szCs w:val="22"/>
          <w:lang w:val="en-GB" w:eastAsia="en-US"/>
          <w14:ligatures w14:val="standardContextual"/>
        </w:rPr>
        <w:t xml:space="preserve"> are starting to</w:t>
      </w:r>
      <w:r w:rsidRPr="00005906">
        <w:rPr>
          <w:rFonts w:asciiTheme="minorHAnsi" w:eastAsiaTheme="minorHAnsi" w:hAnsiTheme="minorHAnsi" w:cstheme="minorBidi"/>
          <w:b/>
          <w:bCs/>
          <w:kern w:val="2"/>
          <w:sz w:val="22"/>
          <w:szCs w:val="22"/>
          <w:lang w:val="en-GB" w:eastAsia="en-US"/>
          <w14:ligatures w14:val="standardContextual"/>
        </w:rPr>
        <w:t xml:space="preserve"> examine oncology care pathways</w:t>
      </w:r>
      <w:r w:rsidRPr="00005906">
        <w:rPr>
          <w:rFonts w:asciiTheme="minorHAnsi" w:eastAsiaTheme="minorHAnsi" w:hAnsiTheme="minorHAnsi" w:cstheme="minorBidi"/>
          <w:kern w:val="2"/>
          <w:sz w:val="22"/>
          <w:szCs w:val="22"/>
          <w:lang w:val="en-GB" w:eastAsia="en-US"/>
          <w14:ligatures w14:val="standardContextual"/>
        </w:rPr>
        <w:t xml:space="preserve">, where personalized medicine is increasingly essential, to ensure treatments align with patient needs and preferences. By analysing the journeys of cancer patients and capturing their reported outcomes, the chair has been able to pinpoint human and organizational challenges in delivering more personalized, </w:t>
      </w:r>
      <w:proofErr w:type="gramStart"/>
      <w:r w:rsidRPr="00005906">
        <w:rPr>
          <w:rFonts w:asciiTheme="minorHAnsi" w:eastAsiaTheme="minorHAnsi" w:hAnsiTheme="minorHAnsi" w:cstheme="minorBidi"/>
          <w:kern w:val="2"/>
          <w:sz w:val="22"/>
          <w:szCs w:val="22"/>
          <w:lang w:val="en-GB" w:eastAsia="en-US"/>
          <w14:ligatures w14:val="standardContextual"/>
        </w:rPr>
        <w:t>value-driven</w:t>
      </w:r>
      <w:proofErr w:type="gramEnd"/>
      <w:r w:rsidRPr="00005906">
        <w:rPr>
          <w:rFonts w:asciiTheme="minorHAnsi" w:eastAsiaTheme="minorHAnsi" w:hAnsiTheme="minorHAnsi" w:cstheme="minorBidi"/>
          <w:kern w:val="2"/>
          <w:sz w:val="22"/>
          <w:szCs w:val="22"/>
          <w:lang w:val="en-GB" w:eastAsia="en-US"/>
          <w14:ligatures w14:val="standardContextual"/>
        </w:rPr>
        <w:t>. This patient-centric focus extends to strengthening the dialogue between healthcare professionals and patients – a critical factor for better health outcomes</w:t>
      </w:r>
      <w:r>
        <w:rPr>
          <w:rFonts w:asciiTheme="minorHAnsi" w:eastAsiaTheme="minorHAnsi" w:hAnsiTheme="minorHAnsi" w:cstheme="minorBidi"/>
          <w:kern w:val="2"/>
          <w:sz w:val="22"/>
          <w:szCs w:val="22"/>
          <w:lang w:val="en-GB" w:eastAsia="en-US"/>
          <w14:ligatures w14:val="standardContextual"/>
        </w:rPr>
        <w:t>.</w:t>
      </w:r>
    </w:p>
    <w:p w14:paraId="191A1495"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 xml:space="preserve">Empowering patients and fostering inclusion in digital health adoption are also key focus areas. The chair’s studies underscore that </w:t>
      </w:r>
      <w:r w:rsidRPr="00005906">
        <w:rPr>
          <w:rFonts w:asciiTheme="minorHAnsi" w:eastAsiaTheme="minorHAnsi" w:hAnsiTheme="minorHAnsi" w:cstheme="minorBidi"/>
          <w:b/>
          <w:bCs/>
          <w:kern w:val="2"/>
          <w:sz w:val="22"/>
          <w:szCs w:val="22"/>
          <w:lang w:val="en-GB" w:eastAsia="en-US"/>
          <w14:ligatures w14:val="standardContextual"/>
        </w:rPr>
        <w:t>patient empowerment rises when individuals are informed, heard, and involved in their care</w:t>
      </w:r>
      <w:r w:rsidRPr="00005906">
        <w:rPr>
          <w:rFonts w:asciiTheme="minorHAnsi" w:eastAsiaTheme="minorHAnsi" w:hAnsiTheme="minorHAnsi" w:cstheme="minorBidi"/>
          <w:kern w:val="2"/>
          <w:sz w:val="22"/>
          <w:szCs w:val="22"/>
          <w:lang w:val="en-GB" w:eastAsia="en-US"/>
          <w14:ligatures w14:val="standardContextual"/>
        </w:rPr>
        <w:t xml:space="preserve">. We explore the complex dynamics behind the uptake of connected health tools – how patients and physicians adapt to and adopt new technologies – and how these dynamics influence care quality and outcomes. Past research by the chair identified that capturing patient information and feedback continuously (e.g. via PROMs/PREMs) not only helps optimize treatments but also actively </w:t>
      </w:r>
      <w:r w:rsidRPr="00005906">
        <w:rPr>
          <w:rFonts w:asciiTheme="minorHAnsi" w:eastAsiaTheme="minorHAnsi" w:hAnsiTheme="minorHAnsi" w:cstheme="minorBidi"/>
          <w:b/>
          <w:bCs/>
          <w:kern w:val="2"/>
          <w:sz w:val="22"/>
          <w:szCs w:val="22"/>
          <w:lang w:val="en-GB" w:eastAsia="en-US"/>
          <w14:ligatures w14:val="standardContextual"/>
        </w:rPr>
        <w:t>engages patients in shared decision-making</w:t>
      </w:r>
      <w:r w:rsidRPr="00005906">
        <w:rPr>
          <w:rFonts w:asciiTheme="minorHAnsi" w:eastAsiaTheme="minorHAnsi" w:hAnsiTheme="minorHAnsi" w:cstheme="minorBidi"/>
          <w:kern w:val="2"/>
          <w:sz w:val="22"/>
          <w:szCs w:val="22"/>
          <w:lang w:val="en-GB" w:eastAsia="en-US"/>
          <w14:ligatures w14:val="standardContextual"/>
        </w:rPr>
        <w:t xml:space="preserve">, making care more participatory. </w:t>
      </w:r>
      <w:r>
        <w:rPr>
          <w:rFonts w:asciiTheme="minorHAnsi" w:eastAsiaTheme="minorHAnsi" w:hAnsiTheme="minorHAnsi" w:cstheme="minorBidi"/>
          <w:kern w:val="2"/>
          <w:sz w:val="22"/>
          <w:szCs w:val="22"/>
          <w:lang w:val="en-GB" w:eastAsia="en-US"/>
          <w14:ligatures w14:val="standardContextual"/>
        </w:rPr>
        <w:t>T</w:t>
      </w:r>
      <w:r w:rsidRPr="00005906">
        <w:rPr>
          <w:rFonts w:asciiTheme="minorHAnsi" w:eastAsiaTheme="minorHAnsi" w:hAnsiTheme="minorHAnsi" w:cstheme="minorBidi"/>
          <w:kern w:val="2"/>
          <w:sz w:val="22"/>
          <w:szCs w:val="22"/>
          <w:lang w:val="en-GB" w:eastAsia="en-US"/>
          <w14:ligatures w14:val="standardContextual"/>
        </w:rPr>
        <w:t xml:space="preserve">he chair </w:t>
      </w:r>
      <w:r>
        <w:rPr>
          <w:rFonts w:asciiTheme="minorHAnsi" w:eastAsiaTheme="minorHAnsi" w:hAnsiTheme="minorHAnsi" w:cstheme="minorBidi"/>
          <w:kern w:val="2"/>
          <w:sz w:val="22"/>
          <w:szCs w:val="22"/>
          <w:lang w:val="en-GB" w:eastAsia="en-US"/>
          <w14:ligatures w14:val="standardContextual"/>
        </w:rPr>
        <w:t xml:space="preserve">demonstrated </w:t>
      </w:r>
      <w:r w:rsidRPr="00005906">
        <w:rPr>
          <w:rFonts w:asciiTheme="minorHAnsi" w:eastAsiaTheme="minorHAnsi" w:hAnsiTheme="minorHAnsi" w:cstheme="minorBidi"/>
          <w:kern w:val="2"/>
          <w:sz w:val="22"/>
          <w:szCs w:val="22"/>
          <w:lang w:val="en-GB" w:eastAsia="en-US"/>
          <w14:ligatures w14:val="standardContextual"/>
        </w:rPr>
        <w:t xml:space="preserve">that </w:t>
      </w:r>
      <w:r w:rsidRPr="00005906">
        <w:rPr>
          <w:rFonts w:asciiTheme="minorHAnsi" w:eastAsiaTheme="minorHAnsi" w:hAnsiTheme="minorHAnsi" w:cstheme="minorBidi"/>
          <w:b/>
          <w:bCs/>
          <w:kern w:val="2"/>
          <w:sz w:val="22"/>
          <w:szCs w:val="22"/>
          <w:lang w:val="en-GB" w:eastAsia="en-US"/>
          <w14:ligatures w14:val="standardContextual"/>
        </w:rPr>
        <w:t>digital innovations must be inclusive</w:t>
      </w:r>
      <w:r w:rsidRPr="00005906">
        <w:rPr>
          <w:rFonts w:asciiTheme="minorHAnsi" w:eastAsiaTheme="minorHAnsi" w:hAnsiTheme="minorHAnsi" w:cstheme="minorBidi"/>
          <w:kern w:val="2"/>
          <w:sz w:val="22"/>
          <w:szCs w:val="22"/>
          <w:lang w:val="en-GB" w:eastAsia="en-US"/>
          <w14:ligatures w14:val="standardContextual"/>
        </w:rPr>
        <w:t xml:space="preserve">: nearly </w:t>
      </w:r>
      <w:r w:rsidRPr="00005906">
        <w:rPr>
          <w:rFonts w:asciiTheme="minorHAnsi" w:eastAsiaTheme="minorHAnsi" w:hAnsiTheme="minorHAnsi" w:cstheme="minorBidi"/>
          <w:b/>
          <w:bCs/>
          <w:kern w:val="2"/>
          <w:sz w:val="22"/>
          <w:szCs w:val="22"/>
          <w:lang w:val="en-GB" w:eastAsia="en-US"/>
          <w14:ligatures w14:val="standardContextual"/>
        </w:rPr>
        <w:t>20% of people can find digital health tools inaccessible due to e-illiteracy</w:t>
      </w:r>
      <w:r w:rsidRPr="00005906">
        <w:rPr>
          <w:rFonts w:asciiTheme="minorHAnsi" w:eastAsiaTheme="minorHAnsi" w:hAnsiTheme="minorHAnsi" w:cstheme="minorBidi"/>
          <w:kern w:val="2"/>
          <w:sz w:val="22"/>
          <w:szCs w:val="22"/>
          <w:lang w:val="en-GB" w:eastAsia="en-US"/>
          <w14:ligatures w14:val="standardContextual"/>
        </w:rPr>
        <w:t xml:space="preserve">, and heavy investment in high-tech solutions </w:t>
      </w:r>
      <w:r w:rsidRPr="00005906">
        <w:rPr>
          <w:rFonts w:asciiTheme="minorHAnsi" w:eastAsiaTheme="minorHAnsi" w:hAnsiTheme="minorHAnsi" w:cstheme="minorBidi"/>
          <w:b/>
          <w:bCs/>
          <w:kern w:val="2"/>
          <w:sz w:val="22"/>
          <w:szCs w:val="22"/>
          <w:lang w:val="en-GB" w:eastAsia="en-US"/>
          <w14:ligatures w14:val="standardContextual"/>
        </w:rPr>
        <w:t>“will…be accompanied by an increase in disparities” if vulnerable groups are not supported</w:t>
      </w:r>
      <w:r w:rsidRPr="00005906">
        <w:rPr>
          <w:rFonts w:asciiTheme="minorHAnsi" w:eastAsiaTheme="minorHAnsi" w:hAnsiTheme="minorHAnsi" w:cstheme="minorBidi"/>
          <w:kern w:val="2"/>
          <w:sz w:val="22"/>
          <w:szCs w:val="22"/>
          <w:lang w:val="en-GB" w:eastAsia="en-US"/>
          <w14:ligatures w14:val="standardContextual"/>
        </w:rPr>
        <w:t xml:space="preserve">. Our latest barometer survey on connected health highlighted a risk of “medical drop-out” among the </w:t>
      </w:r>
      <w:r w:rsidRPr="00005906">
        <w:rPr>
          <w:rFonts w:asciiTheme="minorHAnsi" w:eastAsiaTheme="minorHAnsi" w:hAnsiTheme="minorHAnsi" w:cstheme="minorBidi"/>
          <w:b/>
          <w:bCs/>
          <w:kern w:val="2"/>
          <w:sz w:val="22"/>
          <w:szCs w:val="22"/>
          <w:lang w:val="en-GB" w:eastAsia="en-US"/>
          <w14:ligatures w14:val="standardContextual"/>
        </w:rPr>
        <w:t>“digitally excluded” (often older adults, rural populations, and those with lower education)</w:t>
      </w:r>
      <w:r w:rsidRPr="00005906">
        <w:rPr>
          <w:rFonts w:asciiTheme="minorHAnsi" w:eastAsiaTheme="minorHAnsi" w:hAnsiTheme="minorHAnsi" w:cstheme="minorBidi"/>
          <w:kern w:val="2"/>
          <w:sz w:val="22"/>
          <w:szCs w:val="22"/>
          <w:lang w:val="en-GB" w:eastAsia="en-US"/>
          <w14:ligatures w14:val="standardContextual"/>
        </w:rPr>
        <w:t xml:space="preserve">. These findings drive our commitment to strategies that </w:t>
      </w:r>
      <w:r w:rsidRPr="00005906">
        <w:rPr>
          <w:rFonts w:asciiTheme="minorHAnsi" w:eastAsiaTheme="minorHAnsi" w:hAnsiTheme="minorHAnsi" w:cstheme="minorBidi"/>
          <w:b/>
          <w:bCs/>
          <w:kern w:val="2"/>
          <w:sz w:val="22"/>
          <w:szCs w:val="22"/>
          <w:lang w:val="en-GB" w:eastAsia="en-US"/>
          <w14:ligatures w14:val="standardContextual"/>
        </w:rPr>
        <w:t>educate, support, and include all patient demographics</w:t>
      </w:r>
      <w:r w:rsidRPr="00005906">
        <w:rPr>
          <w:rFonts w:asciiTheme="minorHAnsi" w:eastAsiaTheme="minorHAnsi" w:hAnsiTheme="minorHAnsi" w:cstheme="minorBidi"/>
          <w:kern w:val="2"/>
          <w:sz w:val="22"/>
          <w:szCs w:val="22"/>
          <w:lang w:val="en-GB" w:eastAsia="en-US"/>
          <w14:ligatures w14:val="standardContextual"/>
        </w:rPr>
        <w:t xml:space="preserve"> in the digital health revolution. </w:t>
      </w:r>
    </w:p>
    <w:p w14:paraId="189462E9" w14:textId="77777777" w:rsidR="00912452" w:rsidRPr="00A749FC" w:rsidRDefault="00912452" w:rsidP="00912452">
      <w:pPr>
        <w:pStyle w:val="Titre2"/>
        <w:ind w:left="720"/>
        <w:jc w:val="both"/>
        <w:rPr>
          <w:rFonts w:asciiTheme="minorHAnsi" w:eastAsiaTheme="minorHAnsi" w:hAnsiTheme="minorHAnsi" w:cstheme="minorBidi"/>
          <w:b/>
          <w:bCs/>
          <w:i/>
          <w:iCs/>
          <w:color w:val="auto"/>
          <w:sz w:val="22"/>
          <w:szCs w:val="22"/>
        </w:rPr>
      </w:pPr>
      <w:r w:rsidRPr="00A749FC">
        <w:rPr>
          <w:rFonts w:asciiTheme="minorHAnsi" w:eastAsiaTheme="minorHAnsi" w:hAnsiTheme="minorHAnsi" w:cstheme="minorBidi"/>
          <w:b/>
          <w:bCs/>
          <w:i/>
          <w:iCs/>
          <w:color w:val="auto"/>
          <w:sz w:val="22"/>
          <w:szCs w:val="22"/>
        </w:rPr>
        <w:t>Co-Design and Ethical Governance of AI Solutions</w:t>
      </w:r>
    </w:p>
    <w:p w14:paraId="0FA342C3"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 xml:space="preserve">The chair </w:t>
      </w:r>
      <w:r>
        <w:rPr>
          <w:rFonts w:asciiTheme="minorHAnsi" w:eastAsiaTheme="minorHAnsi" w:hAnsiTheme="minorHAnsi" w:cstheme="minorBidi"/>
          <w:kern w:val="2"/>
          <w:sz w:val="22"/>
          <w:szCs w:val="22"/>
          <w:lang w:val="en-GB" w:eastAsia="en-US"/>
          <w14:ligatures w14:val="standardContextual"/>
        </w:rPr>
        <w:t>mobilizes</w:t>
      </w:r>
      <w:r w:rsidRPr="00005906">
        <w:rPr>
          <w:rFonts w:asciiTheme="minorHAnsi" w:eastAsiaTheme="minorHAnsi" w:hAnsiTheme="minorHAnsi" w:cstheme="minorBidi"/>
          <w:kern w:val="2"/>
          <w:sz w:val="22"/>
          <w:szCs w:val="22"/>
          <w:lang w:val="en-GB" w:eastAsia="en-US"/>
          <w14:ligatures w14:val="standardContextual"/>
        </w:rPr>
        <w:t xml:space="preserve"> the principle of co-development, serving as a “meeting place” between academic researchers and healthcare managers to </w:t>
      </w:r>
      <w:r w:rsidRPr="00005906">
        <w:rPr>
          <w:rFonts w:asciiTheme="minorHAnsi" w:eastAsiaTheme="minorHAnsi" w:hAnsiTheme="minorHAnsi" w:cstheme="minorBidi"/>
          <w:b/>
          <w:bCs/>
          <w:kern w:val="2"/>
          <w:sz w:val="22"/>
          <w:szCs w:val="22"/>
          <w:lang w:val="en-GB" w:eastAsia="en-US"/>
          <w14:ligatures w14:val="standardContextual"/>
        </w:rPr>
        <w:t>“co-develop solutions to problems identified from both academic and practical perspectives”</w:t>
      </w:r>
      <w:r w:rsidRPr="00005906">
        <w:rPr>
          <w:rFonts w:asciiTheme="minorHAnsi" w:eastAsiaTheme="minorHAnsi" w:hAnsiTheme="minorHAnsi" w:cstheme="minorBidi"/>
          <w:kern w:val="2"/>
          <w:sz w:val="22"/>
          <w:szCs w:val="22"/>
          <w:lang w:val="en-GB" w:eastAsia="en-US"/>
          <w14:ligatures w14:val="standardContextual"/>
        </w:rPr>
        <w:t>. In the context of GenAI4EU, we will extend this approach by actively involving physicians, patients, and other stakeholders in the design and testing of generative AI tools. By facilitating participatory workshops, user interviews, and feedback sessions, the chair will ensure the AI applications are tailored to real-world workflows and patient needs (particularly in oncology care). This co-design not only boosts the relevance and usability of AI solutions but also builds trust and buy-in among end users from the outset.</w:t>
      </w:r>
    </w:p>
    <w:p w14:paraId="0544FC93"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b/>
          <w:bCs/>
          <w:kern w:val="2"/>
          <w:sz w:val="22"/>
          <w:szCs w:val="22"/>
          <w:lang w:val="en-GB" w:eastAsia="en-US"/>
          <w14:ligatures w14:val="standardContextual"/>
        </w:rPr>
        <w:t>Ethical oversight and governance</w:t>
      </w:r>
      <w:r w:rsidRPr="00005906">
        <w:rPr>
          <w:rFonts w:asciiTheme="minorHAnsi" w:eastAsiaTheme="minorHAnsi" w:hAnsiTheme="minorHAnsi" w:cstheme="minorBidi"/>
          <w:kern w:val="2"/>
          <w:sz w:val="22"/>
          <w:szCs w:val="22"/>
          <w:lang w:val="en-GB" w:eastAsia="en-US"/>
          <w14:ligatures w14:val="standardContextual"/>
        </w:rPr>
        <w:t xml:space="preserve"> of AI is another area where the chair</w:t>
      </w:r>
      <w:r>
        <w:rPr>
          <w:rFonts w:asciiTheme="minorHAnsi" w:eastAsiaTheme="minorHAnsi" w:hAnsiTheme="minorHAnsi" w:cstheme="minorBidi"/>
          <w:kern w:val="2"/>
          <w:sz w:val="22"/>
          <w:szCs w:val="22"/>
          <w:lang w:val="en-GB" w:eastAsia="en-US"/>
          <w14:ligatures w14:val="standardContextual"/>
        </w:rPr>
        <w:t xml:space="preserve"> and its partner (</w:t>
      </w:r>
      <w:proofErr w:type="spellStart"/>
      <w:r>
        <w:rPr>
          <w:rFonts w:asciiTheme="minorHAnsi" w:eastAsiaTheme="minorHAnsi" w:hAnsiTheme="minorHAnsi" w:cstheme="minorBidi"/>
          <w:kern w:val="2"/>
          <w:sz w:val="22"/>
          <w:szCs w:val="22"/>
          <w:lang w:val="en-GB" w:eastAsia="en-US"/>
          <w14:ligatures w14:val="standardContextual"/>
        </w:rPr>
        <w:t>Ethik</w:t>
      </w:r>
      <w:proofErr w:type="spellEnd"/>
      <w:r>
        <w:rPr>
          <w:rFonts w:asciiTheme="minorHAnsi" w:eastAsiaTheme="minorHAnsi" w:hAnsiTheme="minorHAnsi" w:cstheme="minorBidi"/>
          <w:kern w:val="2"/>
          <w:sz w:val="22"/>
          <w:szCs w:val="22"/>
          <w:lang w:val="en-GB" w:eastAsia="en-US"/>
          <w14:ligatures w14:val="standardContextual"/>
        </w:rPr>
        <w:t xml:space="preserve"> IA)</w:t>
      </w:r>
      <w:r w:rsidRPr="00005906">
        <w:rPr>
          <w:rFonts w:asciiTheme="minorHAnsi" w:eastAsiaTheme="minorHAnsi" w:hAnsiTheme="minorHAnsi" w:cstheme="minorBidi"/>
          <w:kern w:val="2"/>
          <w:sz w:val="22"/>
          <w:szCs w:val="22"/>
          <w:lang w:val="en-GB" w:eastAsia="en-US"/>
          <w14:ligatures w14:val="standardContextual"/>
        </w:rPr>
        <w:t xml:space="preserve"> will provide leadership. Our interdisciplinary team is deeply conscious of the data privacy, security, and ethical implications of AI in healthcare. We advocate for “ethics by design” principles – embedding privacy, fairness, and transparency into the technology lifecycle. This involves setting guidelines for compliant and ethical data use (aligning with </w:t>
      </w:r>
      <w:r w:rsidRPr="00005906">
        <w:rPr>
          <w:rFonts w:asciiTheme="minorHAnsi" w:eastAsiaTheme="minorHAnsi" w:hAnsiTheme="minorHAnsi" w:cstheme="minorBidi"/>
          <w:kern w:val="2"/>
          <w:sz w:val="22"/>
          <w:szCs w:val="22"/>
          <w:lang w:val="en-GB" w:eastAsia="en-US"/>
          <w14:ligatures w14:val="standardContextual"/>
        </w:rPr>
        <w:lastRenderedPageBreak/>
        <w:t>European standards for healthcare AI) and continuously evaluating the AI’s impact on patient rights and well-being. The chair will contribute to governance frameworks that address issues such as consent for AI-driven services, equitable access, and algorithmic bias, thereby safeguarding patients’ interests.</w:t>
      </w:r>
    </w:p>
    <w:p w14:paraId="429A3CB0"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 xml:space="preserve">Furthermore, our research reveals that </w:t>
      </w:r>
      <w:r w:rsidRPr="00005906">
        <w:rPr>
          <w:rFonts w:asciiTheme="minorHAnsi" w:eastAsiaTheme="minorHAnsi" w:hAnsiTheme="minorHAnsi" w:cstheme="minorBidi"/>
          <w:b/>
          <w:bCs/>
          <w:kern w:val="2"/>
          <w:sz w:val="22"/>
          <w:szCs w:val="22"/>
          <w:lang w:val="en-GB" w:eastAsia="en-US"/>
          <w14:ligatures w14:val="standardContextual"/>
        </w:rPr>
        <w:t>addressing the human element of AI adoption is critical for its success</w:t>
      </w:r>
      <w:r w:rsidRPr="00005906">
        <w:rPr>
          <w:rFonts w:asciiTheme="minorHAnsi" w:eastAsiaTheme="minorHAnsi" w:hAnsiTheme="minorHAnsi" w:cstheme="minorBidi"/>
          <w:kern w:val="2"/>
          <w:sz w:val="22"/>
          <w:szCs w:val="22"/>
          <w:lang w:val="en-GB" w:eastAsia="en-US"/>
          <w14:ligatures w14:val="standardContextual"/>
        </w:rPr>
        <w:t xml:space="preserve">. For instance, a recent national survey we conducted found that public </w:t>
      </w:r>
      <w:r w:rsidRPr="00005906">
        <w:rPr>
          <w:rFonts w:asciiTheme="minorHAnsi" w:eastAsiaTheme="minorHAnsi" w:hAnsiTheme="minorHAnsi" w:cstheme="minorBidi"/>
          <w:b/>
          <w:bCs/>
          <w:kern w:val="2"/>
          <w:sz w:val="22"/>
          <w:szCs w:val="22"/>
          <w:lang w:val="en-GB" w:eastAsia="en-US"/>
          <w14:ligatures w14:val="standardContextual"/>
        </w:rPr>
        <w:t>confidence in purely algorithmic health solutions is very low (under 10%), while about 75% of people place “extreme” trust in their doctors</w:t>
      </w:r>
      <w:hyperlink r:id="rId7" w:anchor=":~:text=I%20was%20challenged%20by%20the,that%20seems%20to%20me%20to" w:tgtFrame="_blank" w:history="1">
        <w:r w:rsidRPr="00005906">
          <w:rPr>
            <w:rFonts w:asciiTheme="minorHAnsi" w:eastAsiaTheme="minorHAnsi" w:hAnsiTheme="minorHAnsi" w:cstheme="minorBidi"/>
            <w:kern w:val="2"/>
            <w:sz w:val="22"/>
            <w:szCs w:val="22"/>
            <w:lang w:val="en-GB" w:eastAsia="en-US"/>
            <w14:ligatures w14:val="standardContextual"/>
          </w:rPr>
          <w:t>edhec.edu</w:t>
        </w:r>
      </w:hyperlink>
      <w:r w:rsidRPr="00005906">
        <w:rPr>
          <w:rFonts w:asciiTheme="minorHAnsi" w:eastAsiaTheme="minorHAnsi" w:hAnsiTheme="minorHAnsi" w:cstheme="minorBidi"/>
          <w:kern w:val="2"/>
          <w:sz w:val="22"/>
          <w:szCs w:val="22"/>
          <w:lang w:val="en-GB" w:eastAsia="en-US"/>
          <w14:ligatures w14:val="standardContextual"/>
        </w:rPr>
        <w:t xml:space="preserve">. People are understandably hesitant to accept AI in clinical decision-making without a human touch. As academic partners, we will use these insights to guide the GenAI4EU project in building AI systems that </w:t>
      </w:r>
      <w:r w:rsidRPr="00005906">
        <w:rPr>
          <w:rFonts w:asciiTheme="minorHAnsi" w:eastAsiaTheme="minorHAnsi" w:hAnsiTheme="minorHAnsi" w:cstheme="minorBidi"/>
          <w:b/>
          <w:bCs/>
          <w:kern w:val="2"/>
          <w:sz w:val="22"/>
          <w:szCs w:val="22"/>
          <w:lang w:val="en-GB" w:eastAsia="en-US"/>
          <w14:ligatures w14:val="standardContextual"/>
        </w:rPr>
        <w:t>augment rather than replace human caregivers</w:t>
      </w:r>
      <w:r w:rsidRPr="00005906">
        <w:rPr>
          <w:rFonts w:asciiTheme="minorHAnsi" w:eastAsiaTheme="minorHAnsi" w:hAnsiTheme="minorHAnsi" w:cstheme="minorBidi"/>
          <w:kern w:val="2"/>
          <w:sz w:val="22"/>
          <w:szCs w:val="22"/>
          <w:lang w:val="en-GB" w:eastAsia="en-US"/>
          <w14:ligatures w14:val="standardContextual"/>
        </w:rPr>
        <w:t xml:space="preserve">. We will champion an approach where generative AI supports clinicians (e.g. by enhancing diagnostic accuracy or personalizing treatment plans) in a way that is transparent and intelligible to patients, so that trust can be maintained. By involving healthcare professionals in the design process and clearly communicating AI’s role, the chair will help validate that the solutions are not only technically robust but also </w:t>
      </w:r>
      <w:r w:rsidRPr="00005906">
        <w:rPr>
          <w:rFonts w:asciiTheme="minorHAnsi" w:eastAsiaTheme="minorHAnsi" w:hAnsiTheme="minorHAnsi" w:cstheme="minorBidi"/>
          <w:b/>
          <w:bCs/>
          <w:kern w:val="2"/>
          <w:sz w:val="22"/>
          <w:szCs w:val="22"/>
          <w:lang w:val="en-GB" w:eastAsia="en-US"/>
          <w14:ligatures w14:val="standardContextual"/>
        </w:rPr>
        <w:t>socially acceptable and trustworthy</w:t>
      </w:r>
      <w:r w:rsidRPr="00005906">
        <w:rPr>
          <w:rFonts w:asciiTheme="minorHAnsi" w:eastAsiaTheme="minorHAnsi" w:hAnsiTheme="minorHAnsi" w:cstheme="minorBidi"/>
          <w:kern w:val="2"/>
          <w:sz w:val="22"/>
          <w:szCs w:val="22"/>
          <w:lang w:val="en-GB" w:eastAsia="en-US"/>
          <w14:ligatures w14:val="standardContextual"/>
        </w:rPr>
        <w:t xml:space="preserve">. In practice, we will set up </w:t>
      </w:r>
      <w:r w:rsidRPr="00005906">
        <w:rPr>
          <w:rFonts w:asciiTheme="minorHAnsi" w:eastAsiaTheme="minorHAnsi" w:hAnsiTheme="minorHAnsi" w:cstheme="minorBidi"/>
          <w:b/>
          <w:bCs/>
          <w:kern w:val="2"/>
          <w:sz w:val="22"/>
          <w:szCs w:val="22"/>
          <w:lang w:val="en-GB" w:eastAsia="en-US"/>
          <w14:ligatures w14:val="standardContextual"/>
        </w:rPr>
        <w:t>patient-reported outcome and experience feedback loops</w:t>
      </w:r>
      <w:r w:rsidRPr="00005906">
        <w:rPr>
          <w:rFonts w:asciiTheme="minorHAnsi" w:eastAsiaTheme="minorHAnsi" w:hAnsiTheme="minorHAnsi" w:cstheme="minorBidi"/>
          <w:kern w:val="2"/>
          <w:sz w:val="22"/>
          <w:szCs w:val="22"/>
          <w:lang w:val="en-GB" w:eastAsia="en-US"/>
          <w14:ligatures w14:val="standardContextual"/>
        </w:rPr>
        <w:t xml:space="preserve"> to continually validate the AI models’ real-world performance – ensuring these tools truly improve patient outcomes and satisfaction before they are scaled. This continuous evaluation and refinement, grounded in end-user feedback, will be integral to the project’s deployment strategy and ethical governance.</w:t>
      </w:r>
    </w:p>
    <w:p w14:paraId="32170900" w14:textId="77777777" w:rsidR="00912452" w:rsidRPr="00A749FC" w:rsidRDefault="00912452" w:rsidP="00912452">
      <w:pPr>
        <w:pStyle w:val="Titre2"/>
        <w:ind w:left="720"/>
        <w:jc w:val="both"/>
        <w:rPr>
          <w:rFonts w:asciiTheme="minorHAnsi" w:eastAsiaTheme="minorHAnsi" w:hAnsiTheme="minorHAnsi" w:cstheme="minorBidi"/>
          <w:b/>
          <w:bCs/>
          <w:i/>
          <w:iCs/>
          <w:color w:val="auto"/>
          <w:sz w:val="22"/>
          <w:szCs w:val="22"/>
        </w:rPr>
      </w:pPr>
      <w:r w:rsidRPr="00A749FC">
        <w:rPr>
          <w:rFonts w:asciiTheme="minorHAnsi" w:eastAsiaTheme="minorHAnsi" w:hAnsiTheme="minorHAnsi" w:cstheme="minorBidi"/>
          <w:b/>
          <w:bCs/>
          <w:i/>
          <w:iCs/>
          <w:color w:val="auto"/>
          <w:sz w:val="22"/>
          <w:szCs w:val="22"/>
        </w:rPr>
        <w:t>Social Sciences and Humanities Impact in GenAI4EU</w:t>
      </w:r>
    </w:p>
    <w:p w14:paraId="38C10F68"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 xml:space="preserve">As a management and health innovation research hub, the EDHEC chair will anchor the </w:t>
      </w:r>
      <w:r w:rsidRPr="00005906">
        <w:rPr>
          <w:rFonts w:asciiTheme="minorHAnsi" w:eastAsiaTheme="minorHAnsi" w:hAnsiTheme="minorHAnsi" w:cstheme="minorBidi"/>
          <w:b/>
          <w:bCs/>
          <w:kern w:val="2"/>
          <w:sz w:val="22"/>
          <w:szCs w:val="22"/>
          <w:lang w:val="en-GB" w:eastAsia="en-US"/>
          <w14:ligatures w14:val="standardContextual"/>
        </w:rPr>
        <w:t>Social Sciences and Humanities (SSH) dimension</w:t>
      </w:r>
      <w:r w:rsidRPr="00005906">
        <w:rPr>
          <w:rFonts w:asciiTheme="minorHAnsi" w:eastAsiaTheme="minorHAnsi" w:hAnsiTheme="minorHAnsi" w:cstheme="minorBidi"/>
          <w:kern w:val="2"/>
          <w:sz w:val="22"/>
          <w:szCs w:val="22"/>
          <w:lang w:val="en-GB" w:eastAsia="en-US"/>
          <w14:ligatures w14:val="standardContextual"/>
        </w:rPr>
        <w:t xml:space="preserve"> of the GenAI4EU project. Our contribution goes beyond technical solution development – we will explore the </w:t>
      </w:r>
      <w:r w:rsidRPr="00005906">
        <w:rPr>
          <w:rFonts w:asciiTheme="minorHAnsi" w:eastAsiaTheme="minorHAnsi" w:hAnsiTheme="minorHAnsi" w:cstheme="minorBidi"/>
          <w:b/>
          <w:bCs/>
          <w:kern w:val="2"/>
          <w:sz w:val="22"/>
          <w:szCs w:val="22"/>
          <w:lang w:val="en-GB" w:eastAsia="en-US"/>
          <w14:ligatures w14:val="standardContextual"/>
        </w:rPr>
        <w:t>human, societal, and organizational context</w:t>
      </w:r>
      <w:r w:rsidRPr="00005906">
        <w:rPr>
          <w:rFonts w:asciiTheme="minorHAnsi" w:eastAsiaTheme="minorHAnsi" w:hAnsiTheme="minorHAnsi" w:cstheme="minorBidi"/>
          <w:kern w:val="2"/>
          <w:sz w:val="22"/>
          <w:szCs w:val="22"/>
          <w:lang w:val="en-GB" w:eastAsia="en-US"/>
          <w14:ligatures w14:val="standardContextual"/>
        </w:rPr>
        <w:t xml:space="preserve"> that determines whether generative AI in healthcare succeeds or fails. The chair’s researchers are well-versed in qualitative and mixed-method approaches, employing interviews, focus groups, surveys, and observational studies to gain a 360° understanding of stakeholder attitudes and experiences. For example, through the EDHEC-Bristol Myers Squibb Connected Health Barometer (an ongoing survey project), we have provided stakeholders with fresh data on the changing </w:t>
      </w:r>
      <w:proofErr w:type="spellStart"/>
      <w:r w:rsidRPr="00005906">
        <w:rPr>
          <w:rFonts w:asciiTheme="minorHAnsi" w:eastAsiaTheme="minorHAnsi" w:hAnsiTheme="minorHAnsi" w:cstheme="minorBidi"/>
          <w:kern w:val="2"/>
          <w:sz w:val="22"/>
          <w:szCs w:val="22"/>
          <w:lang w:val="en-GB" w:eastAsia="en-US"/>
          <w14:ligatures w14:val="standardContextual"/>
        </w:rPr>
        <w:t>behaviors</w:t>
      </w:r>
      <w:proofErr w:type="spellEnd"/>
      <w:r w:rsidRPr="00005906">
        <w:rPr>
          <w:rFonts w:asciiTheme="minorHAnsi" w:eastAsiaTheme="minorHAnsi" w:hAnsiTheme="minorHAnsi" w:cstheme="minorBidi"/>
          <w:kern w:val="2"/>
          <w:sz w:val="22"/>
          <w:szCs w:val="22"/>
          <w:lang w:val="en-GB" w:eastAsia="en-US"/>
          <w14:ligatures w14:val="standardContextual"/>
        </w:rPr>
        <w:t xml:space="preserve"> and perceptions of patients regarding digital health. This kind of insight is invaluable in tailoring interventions: our studies have highlighted needs for better information, education, and reassurance to increase public confidence in digital health innovations</w:t>
      </w:r>
      <w:r>
        <w:rPr>
          <w:rFonts w:asciiTheme="minorHAnsi" w:eastAsiaTheme="minorHAnsi" w:hAnsiTheme="minorHAnsi" w:cstheme="minorBidi"/>
          <w:kern w:val="2"/>
          <w:sz w:val="22"/>
          <w:szCs w:val="22"/>
          <w:lang w:val="en-GB" w:eastAsia="en-US"/>
          <w14:ligatures w14:val="standardContextual"/>
        </w:rPr>
        <w:t>.</w:t>
      </w:r>
      <w:r w:rsidRPr="00005906">
        <w:rPr>
          <w:rFonts w:asciiTheme="minorHAnsi" w:eastAsiaTheme="minorHAnsi" w:hAnsiTheme="minorHAnsi" w:cstheme="minorBidi"/>
          <w:kern w:val="2"/>
          <w:sz w:val="22"/>
          <w:szCs w:val="22"/>
          <w:lang w:val="en-GB" w:eastAsia="en-US"/>
          <w14:ligatures w14:val="standardContextual"/>
        </w:rPr>
        <w:t xml:space="preserve"> We will bring similar methodologies to GenAI4EU – assessing patient and provider perceptions of generative AI, mapping out barriers to adoption (like digital literacy gaps or organizational workflow issues), and evaluating the social acceptance of AI-enabled care.</w:t>
      </w:r>
    </w:p>
    <w:p w14:paraId="6178CA6B" w14:textId="77777777" w:rsidR="00912452" w:rsidRPr="00005906" w:rsidRDefault="00912452" w:rsidP="00912452">
      <w:pPr>
        <w:pStyle w:val="NormalWeb"/>
        <w:ind w:left="720"/>
        <w:jc w:val="both"/>
        <w:rPr>
          <w:rFonts w:asciiTheme="minorHAnsi" w:eastAsiaTheme="minorHAnsi" w:hAnsiTheme="minorHAnsi" w:cstheme="minorBidi"/>
          <w:kern w:val="2"/>
          <w:sz w:val="22"/>
          <w:szCs w:val="22"/>
          <w:lang w:val="en-GB" w:eastAsia="en-US"/>
          <w14:ligatures w14:val="standardContextual"/>
        </w:rPr>
      </w:pPr>
      <w:r w:rsidRPr="00005906">
        <w:rPr>
          <w:rFonts w:asciiTheme="minorHAnsi" w:eastAsiaTheme="minorHAnsi" w:hAnsiTheme="minorHAnsi" w:cstheme="minorBidi"/>
          <w:kern w:val="2"/>
          <w:sz w:val="22"/>
          <w:szCs w:val="22"/>
          <w:lang w:val="en-GB" w:eastAsia="en-US"/>
          <w14:ligatures w14:val="standardContextual"/>
        </w:rPr>
        <w:t xml:space="preserve">By integrating SSH research, the chair ensures that </w:t>
      </w:r>
      <w:r w:rsidRPr="00005906">
        <w:rPr>
          <w:rFonts w:asciiTheme="minorHAnsi" w:eastAsiaTheme="minorHAnsi" w:hAnsiTheme="minorHAnsi" w:cstheme="minorBidi"/>
          <w:b/>
          <w:bCs/>
          <w:kern w:val="2"/>
          <w:sz w:val="22"/>
          <w:szCs w:val="22"/>
          <w:lang w:val="en-GB" w:eastAsia="en-US"/>
          <w14:ligatures w14:val="standardContextual"/>
        </w:rPr>
        <w:t>GenAI4EU’s innovations are grounded in real-world contexts</w:t>
      </w:r>
      <w:r w:rsidRPr="00005906">
        <w:rPr>
          <w:rFonts w:asciiTheme="minorHAnsi" w:eastAsiaTheme="minorHAnsi" w:hAnsiTheme="minorHAnsi" w:cstheme="minorBidi"/>
          <w:kern w:val="2"/>
          <w:sz w:val="22"/>
          <w:szCs w:val="22"/>
          <w:lang w:val="en-GB" w:eastAsia="en-US"/>
          <w14:ligatures w14:val="standardContextual"/>
        </w:rPr>
        <w:t xml:space="preserve">. We will investigate questions such as: How do cultural attitudes and health beliefs influence acceptance of AI-driven advice? What are the concerns of oncologists and patients about using generative AI in diagnosis or care planning? What ethical norms should guide AI’s role in the doctor-patient relationship? Addressing these questions requires bridging quantitative evidence with deep qualitative understanding – exactly the synergy of methods our team excels at. Our multi-disciplinary lens allows us to interpret findings </w:t>
      </w:r>
      <w:proofErr w:type="gramStart"/>
      <w:r w:rsidRPr="00005906">
        <w:rPr>
          <w:rFonts w:asciiTheme="minorHAnsi" w:eastAsiaTheme="minorHAnsi" w:hAnsiTheme="minorHAnsi" w:cstheme="minorBidi"/>
          <w:kern w:val="2"/>
          <w:sz w:val="22"/>
          <w:szCs w:val="22"/>
          <w:lang w:val="en-GB" w:eastAsia="en-US"/>
          <w14:ligatures w14:val="standardContextual"/>
        </w:rPr>
        <w:t>in light of</w:t>
      </w:r>
      <w:proofErr w:type="gramEnd"/>
      <w:r w:rsidRPr="00005906">
        <w:rPr>
          <w:rFonts w:asciiTheme="minorHAnsi" w:eastAsiaTheme="minorHAnsi" w:hAnsiTheme="minorHAnsi" w:cstheme="minorBidi"/>
          <w:kern w:val="2"/>
          <w:sz w:val="22"/>
          <w:szCs w:val="22"/>
          <w:lang w:val="en-GB" w:eastAsia="en-US"/>
          <w14:ligatures w14:val="standardContextual"/>
        </w:rPr>
        <w:t xml:space="preserve"> ethics, psychology, and organizational </w:t>
      </w:r>
      <w:proofErr w:type="spellStart"/>
      <w:r w:rsidRPr="00005906">
        <w:rPr>
          <w:rFonts w:asciiTheme="minorHAnsi" w:eastAsiaTheme="minorHAnsi" w:hAnsiTheme="minorHAnsi" w:cstheme="minorBidi"/>
          <w:kern w:val="2"/>
          <w:sz w:val="22"/>
          <w:szCs w:val="22"/>
          <w:lang w:val="en-GB" w:eastAsia="en-US"/>
          <w14:ligatures w14:val="standardContextual"/>
        </w:rPr>
        <w:t>behavior</w:t>
      </w:r>
      <w:proofErr w:type="spellEnd"/>
      <w:r w:rsidRPr="00005906">
        <w:rPr>
          <w:rFonts w:asciiTheme="minorHAnsi" w:eastAsiaTheme="minorHAnsi" w:hAnsiTheme="minorHAnsi" w:cstheme="minorBidi"/>
          <w:kern w:val="2"/>
          <w:sz w:val="22"/>
          <w:szCs w:val="22"/>
          <w:lang w:val="en-GB" w:eastAsia="en-US"/>
          <w14:ligatures w14:val="standardContextual"/>
        </w:rPr>
        <w:t xml:space="preserve">, thereby offering nuanced recommendations. Ultimately, this SSH-driven </w:t>
      </w:r>
      <w:r w:rsidRPr="00005906">
        <w:rPr>
          <w:rFonts w:asciiTheme="minorHAnsi" w:eastAsiaTheme="minorHAnsi" w:hAnsiTheme="minorHAnsi" w:cstheme="minorBidi"/>
          <w:kern w:val="2"/>
          <w:sz w:val="22"/>
          <w:szCs w:val="22"/>
          <w:lang w:val="en-GB" w:eastAsia="en-US"/>
          <w14:ligatures w14:val="standardContextual"/>
        </w:rPr>
        <w:lastRenderedPageBreak/>
        <w:t xml:space="preserve">perspective will help the consortium to </w:t>
      </w:r>
      <w:r w:rsidRPr="00005906">
        <w:rPr>
          <w:rFonts w:asciiTheme="minorHAnsi" w:eastAsiaTheme="minorHAnsi" w:hAnsiTheme="minorHAnsi" w:cstheme="minorBidi"/>
          <w:b/>
          <w:bCs/>
          <w:kern w:val="2"/>
          <w:sz w:val="22"/>
          <w:szCs w:val="22"/>
          <w:lang w:val="en-GB" w:eastAsia="en-US"/>
          <w14:ligatures w14:val="standardContextual"/>
        </w:rPr>
        <w:t>co-design AI solutions that are user-aligned, ethically sound, and practically implementable</w:t>
      </w:r>
      <w:r w:rsidRPr="00005906">
        <w:rPr>
          <w:rFonts w:asciiTheme="minorHAnsi" w:eastAsiaTheme="minorHAnsi" w:hAnsiTheme="minorHAnsi" w:cstheme="minorBidi"/>
          <w:kern w:val="2"/>
          <w:sz w:val="22"/>
          <w:szCs w:val="22"/>
          <w:lang w:val="en-GB" w:eastAsia="en-US"/>
          <w14:ligatures w14:val="standardContextual"/>
        </w:rPr>
        <w:t xml:space="preserve"> across diverse healthcare settings</w:t>
      </w:r>
    </w:p>
    <w:p w14:paraId="71FA4934" w14:textId="77777777" w:rsidR="00912452" w:rsidRPr="0063144D" w:rsidRDefault="00912452" w:rsidP="00912452">
      <w:pPr>
        <w:ind w:left="360"/>
        <w:jc w:val="both"/>
        <w:rPr>
          <w:b/>
          <w:bCs/>
          <w:lang w:val="en-US"/>
        </w:rPr>
      </w:pPr>
    </w:p>
    <w:p w14:paraId="29D74408" w14:textId="77777777" w:rsidR="00912452" w:rsidRDefault="00912452" w:rsidP="00912452">
      <w:pPr>
        <w:pStyle w:val="Paragraphedeliste"/>
        <w:numPr>
          <w:ilvl w:val="0"/>
          <w:numId w:val="2"/>
        </w:numPr>
        <w:autoSpaceDE w:val="0"/>
        <w:autoSpaceDN w:val="0"/>
        <w:adjustRightInd w:val="0"/>
        <w:spacing w:after="0" w:line="240" w:lineRule="auto"/>
        <w:jc w:val="both"/>
        <w:rPr>
          <w:b/>
          <w:bCs/>
          <w:lang w:val="en-US" w:eastAsia="fr-FR"/>
        </w:rPr>
      </w:pPr>
      <w:r w:rsidRPr="005D76DB">
        <w:rPr>
          <w:b/>
          <w:bCs/>
          <w:lang w:val="en-US"/>
        </w:rPr>
        <w:t>HORIZON-HLTH-2025-01-TOOL-03: Leveraging multimodal data to advance Generative Artificial Intelligence applicability in biomedical research (GenAI4EU</w:t>
      </w:r>
      <w:r>
        <w:rPr>
          <w:b/>
          <w:bCs/>
          <w:lang w:val="en-US"/>
        </w:rPr>
        <w:t>)</w:t>
      </w:r>
    </w:p>
    <w:p w14:paraId="4259AF5D" w14:textId="77777777" w:rsidR="00912452" w:rsidRDefault="00912452" w:rsidP="00912452">
      <w:pPr>
        <w:autoSpaceDE w:val="0"/>
        <w:autoSpaceDN w:val="0"/>
        <w:adjustRightInd w:val="0"/>
        <w:spacing w:after="0" w:line="240" w:lineRule="auto"/>
        <w:jc w:val="both"/>
        <w:rPr>
          <w:b/>
          <w:bCs/>
          <w:lang w:val="en-US" w:eastAsia="fr-FR"/>
        </w:rPr>
      </w:pPr>
    </w:p>
    <w:p w14:paraId="05A94F11"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 xml:space="preserve">As an academic partner in the GenAI4EU initiative, EDHEC Business School’s </w:t>
      </w:r>
      <w:r w:rsidRPr="008969A0">
        <w:rPr>
          <w:i/>
          <w:iCs/>
          <w:lang w:val="en-US" w:eastAsia="fr-FR"/>
        </w:rPr>
        <w:t>Management in Innovative Health</w:t>
      </w:r>
      <w:r w:rsidRPr="008969A0">
        <w:rPr>
          <w:lang w:val="en-US" w:eastAsia="fr-FR"/>
        </w:rPr>
        <w:t xml:space="preserve"> Chair brings </w:t>
      </w:r>
      <w:r>
        <w:rPr>
          <w:lang w:val="en-US" w:eastAsia="fr-FR"/>
        </w:rPr>
        <w:t>will provide an</w:t>
      </w:r>
      <w:r w:rsidRPr="008969A0">
        <w:rPr>
          <w:lang w:val="en-US" w:eastAsia="fr-FR"/>
        </w:rPr>
        <w:t xml:space="preserve"> interdisciplinary perspective that bridges healthcare management, digital innovation, behavioral science, and ethics. The Chair’s mission is to support the responsible transformation of healthcare systems through research grounded in real-world usage, inclusive patient experience, and strategic insight into digital health adoption. Its contribution to the project will center on developing generative AI solutions that are not only technically advanced but also aligned with clinical workflows, acceptable to patients, and responsive to societal expectations.</w:t>
      </w:r>
    </w:p>
    <w:p w14:paraId="4B4AEF34" w14:textId="77777777" w:rsidR="00912452" w:rsidRPr="008969A0" w:rsidRDefault="00912452" w:rsidP="00912452">
      <w:pPr>
        <w:autoSpaceDE w:val="0"/>
        <w:autoSpaceDN w:val="0"/>
        <w:adjustRightInd w:val="0"/>
        <w:spacing w:after="0" w:line="240" w:lineRule="auto"/>
        <w:ind w:left="708"/>
        <w:jc w:val="both"/>
        <w:rPr>
          <w:lang w:val="en-US" w:eastAsia="fr-FR"/>
        </w:rPr>
      </w:pPr>
    </w:p>
    <w:p w14:paraId="14C7884B"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 xml:space="preserve">The Chair </w:t>
      </w:r>
      <w:r>
        <w:rPr>
          <w:lang w:val="en-US" w:eastAsia="fr-FR"/>
        </w:rPr>
        <w:t xml:space="preserve">can provide expertise in </w:t>
      </w:r>
      <w:r w:rsidRPr="008969A0">
        <w:rPr>
          <w:lang w:val="en-US" w:eastAsia="fr-FR"/>
        </w:rPr>
        <w:t>evaluating the impact of connected health technologies across the care continuum. Through its work on Patient-Reported Outcome Measures (PROMs) and Patient-Reported Experience Measures (PREMs), it systematically captures how patients experience and benefit from medical interventions and how they perceive their engagement with care. This evidence base is used to assess the actual value created by innovations in real-life care settings. Beyond measurement, the Chair also possesses the analytical capacity to identify, study, and predict behavioral attitudes among patients, physicians, and healthcare managers. By combining PROMs, PREMs, and behavioral modeling, the Chair uncovers the cognitive, emotional, and organizational factors that influence how individuals adopt or resist new technologies, including AI-enabled systems.</w:t>
      </w:r>
    </w:p>
    <w:p w14:paraId="45C45606" w14:textId="77777777" w:rsidR="00912452" w:rsidRPr="008969A0" w:rsidRDefault="00912452" w:rsidP="00912452">
      <w:pPr>
        <w:autoSpaceDE w:val="0"/>
        <w:autoSpaceDN w:val="0"/>
        <w:adjustRightInd w:val="0"/>
        <w:spacing w:after="0" w:line="240" w:lineRule="auto"/>
        <w:ind w:left="708"/>
        <w:jc w:val="both"/>
        <w:rPr>
          <w:lang w:val="en-US" w:eastAsia="fr-FR"/>
        </w:rPr>
      </w:pPr>
    </w:p>
    <w:p w14:paraId="1825078A"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This behavioral and experiential lens will be central to EDHEC’s role in GenAI4EU. The Chair will contribute to the development of use cases that are grounded in patient and clinician needs, with a focus on how generative AI can enhance decision-making and personalization in fields such as oncology. Its past research on patient pathways and digital health use in cancer care provides a foundation for identifying where AI tools can be integrated to improve both clinical outcomes and patient satisfaction. The Chair’s ability to assess not only health results but also the quality of the experience will help ensure that GenAI4EU’s innovations improve care in a truly holistic way.</w:t>
      </w:r>
    </w:p>
    <w:p w14:paraId="5F9EE710" w14:textId="77777777" w:rsidR="00912452" w:rsidRPr="008969A0" w:rsidRDefault="00912452" w:rsidP="00912452">
      <w:pPr>
        <w:autoSpaceDE w:val="0"/>
        <w:autoSpaceDN w:val="0"/>
        <w:adjustRightInd w:val="0"/>
        <w:spacing w:after="0" w:line="240" w:lineRule="auto"/>
        <w:ind w:left="708"/>
        <w:jc w:val="both"/>
        <w:rPr>
          <w:lang w:val="en-US" w:eastAsia="fr-FR"/>
        </w:rPr>
      </w:pPr>
    </w:p>
    <w:p w14:paraId="6E1337E9"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 xml:space="preserve">The Chair’s research has also brought to light the risks of exclusion and inequality in </w:t>
      </w:r>
      <w:proofErr w:type="gramStart"/>
      <w:r w:rsidRPr="008969A0">
        <w:rPr>
          <w:lang w:val="en-US" w:eastAsia="fr-FR"/>
        </w:rPr>
        <w:t>the digital</w:t>
      </w:r>
      <w:proofErr w:type="gramEnd"/>
      <w:r w:rsidRPr="008969A0">
        <w:rPr>
          <w:lang w:val="en-US" w:eastAsia="fr-FR"/>
        </w:rPr>
        <w:t xml:space="preserve"> transition. National surveys conducted by the Chair have revealed that up to 20% of patients face barriers to using digital health tools, particularly due to e-illiteracy, socioeconomic vulnerability, or age-related digital divides. This has highlighted the emergence of a “medical drop-out” risk among underserved populations. In response, the Chair is committed to promoting inclusive design strategies, ensuring that technological solutions developed within GenAI4EU do not exacerbate disparities but instead foster equitable access and digital health literacy. These findings will directly inform the consortium’s approach to user testing, communication, and education strategies.</w:t>
      </w:r>
    </w:p>
    <w:p w14:paraId="7254E372" w14:textId="77777777" w:rsidR="00912452" w:rsidRPr="008969A0" w:rsidRDefault="00912452" w:rsidP="00912452">
      <w:pPr>
        <w:autoSpaceDE w:val="0"/>
        <w:autoSpaceDN w:val="0"/>
        <w:adjustRightInd w:val="0"/>
        <w:spacing w:after="0" w:line="240" w:lineRule="auto"/>
        <w:ind w:left="708"/>
        <w:jc w:val="both"/>
        <w:rPr>
          <w:lang w:val="en-US" w:eastAsia="fr-FR"/>
        </w:rPr>
      </w:pPr>
    </w:p>
    <w:p w14:paraId="3DA68BB8"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 xml:space="preserve">EDHEC’s Chair will also contribute to the co-design and validation of generative AI tools, adopting a participatory approach that engages patients, physicians, and institutional actors in all phases of development. Drawing on its experience as a facilitator between </w:t>
      </w:r>
      <w:proofErr w:type="gramStart"/>
      <w:r w:rsidRPr="008969A0">
        <w:rPr>
          <w:lang w:val="en-US" w:eastAsia="fr-FR"/>
        </w:rPr>
        <w:t>academia</w:t>
      </w:r>
      <w:proofErr w:type="gramEnd"/>
      <w:r w:rsidRPr="008969A0">
        <w:rPr>
          <w:lang w:val="en-US" w:eastAsia="fr-FR"/>
        </w:rPr>
        <w:t xml:space="preserve"> and healthcare practice, the Chair will organize workshops, interviews, and pilot sessions that ensure user needs are integrated from the outset. Particular attention </w:t>
      </w:r>
      <w:r w:rsidRPr="008969A0">
        <w:rPr>
          <w:lang w:val="en-US" w:eastAsia="fr-FR"/>
        </w:rPr>
        <w:lastRenderedPageBreak/>
        <w:t>will be given to aligning AI functionalities with the daily realities of care professionals, so that the tools support—not disrupt—existing medical practices.</w:t>
      </w:r>
    </w:p>
    <w:p w14:paraId="394ADCB3" w14:textId="77777777" w:rsidR="00912452" w:rsidRPr="008969A0" w:rsidRDefault="00912452" w:rsidP="00912452">
      <w:pPr>
        <w:autoSpaceDE w:val="0"/>
        <w:autoSpaceDN w:val="0"/>
        <w:adjustRightInd w:val="0"/>
        <w:spacing w:after="0" w:line="240" w:lineRule="auto"/>
        <w:ind w:left="708"/>
        <w:jc w:val="both"/>
        <w:rPr>
          <w:lang w:val="en-US" w:eastAsia="fr-FR"/>
        </w:rPr>
      </w:pPr>
    </w:p>
    <w:p w14:paraId="0801841D" w14:textId="77777777" w:rsidR="00912452" w:rsidRDefault="00912452" w:rsidP="00912452">
      <w:pPr>
        <w:autoSpaceDE w:val="0"/>
        <w:autoSpaceDN w:val="0"/>
        <w:adjustRightInd w:val="0"/>
        <w:spacing w:after="0" w:line="240" w:lineRule="auto"/>
        <w:ind w:left="708"/>
        <w:jc w:val="both"/>
        <w:rPr>
          <w:lang w:val="en-US" w:eastAsia="fr-FR"/>
        </w:rPr>
      </w:pPr>
      <w:r w:rsidRPr="008969A0">
        <w:rPr>
          <w:lang w:val="en-US" w:eastAsia="fr-FR"/>
        </w:rPr>
        <w:t>Another cornerstone of the Chair’s contribution lies in the domain of ethical governance and regulatory alignment. Its interdisciplinary team, working in collaboration with partners in responsible AI, will ensure that ethical principles such as transparency, fairness, and patient autonomy are embedded throughout the lifecycle of the GenAI4EU models. The Chair will help define standards and methodologies for evaluating model intelligibility, robustness, and bias, with special attention paid to ensuring that generative AI remains explainable to users and subject to clinical oversight. This ethical vigilance will be essential to foster public trust and professional acceptance of AI-assisted healthcare.</w:t>
      </w:r>
    </w:p>
    <w:p w14:paraId="3D361225" w14:textId="77777777" w:rsidR="00912452" w:rsidRPr="008969A0" w:rsidRDefault="00912452" w:rsidP="00912452">
      <w:pPr>
        <w:autoSpaceDE w:val="0"/>
        <w:autoSpaceDN w:val="0"/>
        <w:adjustRightInd w:val="0"/>
        <w:spacing w:after="0" w:line="240" w:lineRule="auto"/>
        <w:ind w:left="708"/>
        <w:jc w:val="both"/>
        <w:rPr>
          <w:lang w:val="en-US" w:eastAsia="fr-FR"/>
        </w:rPr>
      </w:pPr>
    </w:p>
    <w:p w14:paraId="5E62E577" w14:textId="77777777" w:rsidR="00912452" w:rsidRPr="008969A0" w:rsidRDefault="00912452" w:rsidP="00912452">
      <w:pPr>
        <w:autoSpaceDE w:val="0"/>
        <w:autoSpaceDN w:val="0"/>
        <w:adjustRightInd w:val="0"/>
        <w:spacing w:after="0" w:line="240" w:lineRule="auto"/>
        <w:ind w:left="708"/>
        <w:jc w:val="both"/>
        <w:rPr>
          <w:lang w:val="en-US" w:eastAsia="fr-FR"/>
        </w:rPr>
      </w:pPr>
      <w:r w:rsidRPr="008969A0">
        <w:rPr>
          <w:lang w:val="en-US" w:eastAsia="fr-FR"/>
        </w:rPr>
        <w:t xml:space="preserve">In addition, the Chair will anchor the project’s Social Sciences and Humanities (SSH) dimension, applying rigorous qualitative and mixed-method research to explore the human and societal implications of AI adoption. It will assess how cultural norms, cognitive biases, and institutional factors influence attitudes toward generative AI among both patients and providers. This work will help the consortium better understand the dynamics of acceptance, hesitation, or resistance, and shape implementation strategies that are socially informed and </w:t>
      </w:r>
      <w:proofErr w:type="gramStart"/>
      <w:r w:rsidRPr="008969A0">
        <w:rPr>
          <w:lang w:val="en-US" w:eastAsia="fr-FR"/>
        </w:rPr>
        <w:t>context-sensitive</w:t>
      </w:r>
      <w:proofErr w:type="gramEnd"/>
      <w:r w:rsidRPr="008969A0">
        <w:rPr>
          <w:lang w:val="en-US" w:eastAsia="fr-FR"/>
        </w:rPr>
        <w:t>.</w:t>
      </w:r>
    </w:p>
    <w:p w14:paraId="1309DFC6" w14:textId="77777777" w:rsidR="00912452" w:rsidRPr="008969A0" w:rsidRDefault="00912452" w:rsidP="00912452">
      <w:pPr>
        <w:autoSpaceDE w:val="0"/>
        <w:autoSpaceDN w:val="0"/>
        <w:adjustRightInd w:val="0"/>
        <w:spacing w:after="0" w:line="240" w:lineRule="auto"/>
        <w:ind w:left="360"/>
        <w:jc w:val="both"/>
        <w:rPr>
          <w:b/>
          <w:bCs/>
          <w:lang w:val="en-US" w:eastAsia="fr-FR"/>
        </w:rPr>
      </w:pPr>
    </w:p>
    <w:p w14:paraId="7CDA64BA" w14:textId="77777777" w:rsidR="00912452" w:rsidRDefault="00912452" w:rsidP="00912452">
      <w:pPr>
        <w:keepNext/>
        <w:pBdr>
          <w:bottom w:val="single" w:sz="4" w:space="1" w:color="7B8797"/>
        </w:pBdr>
        <w:spacing w:before="400" w:after="280" w:line="240" w:lineRule="auto"/>
        <w:jc w:val="both"/>
        <w:outlineLvl w:val="2"/>
        <w:rPr>
          <w:rFonts w:ascii="Arial" w:eastAsia="Times New Roman" w:hAnsi="Arial" w:cs="Arial"/>
          <w:b/>
          <w:bCs/>
          <w:color w:val="7B8797"/>
          <w:kern w:val="0"/>
          <w:lang w:val="en-US" w:eastAsia="fr-FR"/>
          <w14:ligatures w14:val="none"/>
        </w:rPr>
      </w:pPr>
      <w:r w:rsidRPr="00DC283F">
        <w:rPr>
          <w:rFonts w:ascii="Arial" w:eastAsia="Times New Roman" w:hAnsi="Arial" w:cs="Arial"/>
          <w:b/>
          <w:bCs/>
          <w:color w:val="7B8797"/>
          <w:kern w:val="0"/>
          <w:lang w:val="en-US" w:eastAsia="fr-FR"/>
          <w14:ligatures w14:val="none"/>
        </w:rPr>
        <w:t>EDHEC Publications</w:t>
      </w:r>
      <w:r>
        <w:rPr>
          <w:rFonts w:ascii="Arial" w:eastAsia="Times New Roman" w:hAnsi="Arial" w:cs="Arial"/>
          <w:b/>
          <w:bCs/>
          <w:color w:val="7B8797"/>
          <w:kern w:val="0"/>
          <w:lang w:val="en-US" w:eastAsia="fr-FR"/>
          <w14:ligatures w14:val="none"/>
        </w:rPr>
        <w:t xml:space="preserve"> (faculty and affiliate) regarding the adoption of IA in Health and SHS </w:t>
      </w:r>
    </w:p>
    <w:p w14:paraId="61571D71" w14:textId="77777777" w:rsidR="00912452" w:rsidRPr="00DC283F" w:rsidRDefault="00912452" w:rsidP="00912452">
      <w:pPr>
        <w:jc w:val="both"/>
        <w:rPr>
          <w:lang w:val="en-US"/>
        </w:rPr>
      </w:pPr>
      <w:r w:rsidRPr="00DC283F">
        <w:rPr>
          <w:b/>
          <w:bCs/>
          <w:lang w:val="en-US"/>
        </w:rPr>
        <w:t>Scientific publication with peer-r</w:t>
      </w:r>
      <w:r>
        <w:rPr>
          <w:b/>
          <w:bCs/>
          <w:lang w:val="en-US"/>
        </w:rPr>
        <w:t>eviewed</w:t>
      </w:r>
    </w:p>
    <w:p w14:paraId="66116B37" w14:textId="77777777" w:rsidR="00912452" w:rsidRPr="007D32D5" w:rsidRDefault="00912452" w:rsidP="00912452">
      <w:pPr>
        <w:pStyle w:val="Paragraphedeliste"/>
        <w:numPr>
          <w:ilvl w:val="0"/>
          <w:numId w:val="2"/>
        </w:numPr>
        <w:jc w:val="both"/>
        <w:rPr>
          <w:lang w:val="en-US"/>
        </w:rPr>
      </w:pPr>
      <w:proofErr w:type="spellStart"/>
      <w:r w:rsidRPr="005F1B55">
        <w:rPr>
          <w:lang w:val="en-US"/>
        </w:rPr>
        <w:t>Georgara</w:t>
      </w:r>
      <w:proofErr w:type="spellEnd"/>
      <w:r w:rsidRPr="005F1B55">
        <w:rPr>
          <w:lang w:val="en-US"/>
        </w:rPr>
        <w:t xml:space="preserve">, A., </w:t>
      </w:r>
      <w:proofErr w:type="spellStart"/>
      <w:r w:rsidRPr="005F1B55">
        <w:rPr>
          <w:lang w:val="en-US"/>
        </w:rPr>
        <w:t>Santolini</w:t>
      </w:r>
      <w:proofErr w:type="spellEnd"/>
      <w:r w:rsidRPr="005F1B55">
        <w:rPr>
          <w:lang w:val="en-US"/>
        </w:rPr>
        <w:t xml:space="preserve">, M., </w:t>
      </w:r>
      <w:r w:rsidRPr="005F1B55">
        <w:rPr>
          <w:b/>
          <w:bCs/>
          <w:lang w:val="en-US"/>
        </w:rPr>
        <w:t>Kokshagina, O</w:t>
      </w:r>
      <w:r w:rsidRPr="005F1B55">
        <w:rPr>
          <w:lang w:val="en-US"/>
        </w:rPr>
        <w:t xml:space="preserve">., Haux, C.J.J., Desmé Jacobs, D., &amp; al. </w:t>
      </w:r>
      <w:r w:rsidRPr="00637B3D">
        <w:t>(2024) Optimising Team Dynamics: The Role of AI in Enhancing Challenge-Based Learning Participation Experience and Outcomes.ffhal-04691209f </w:t>
      </w:r>
      <w:r w:rsidRPr="00836B98">
        <w:rPr>
          <w:lang w:val="en-US"/>
        </w:rPr>
        <w:t> </w:t>
      </w:r>
    </w:p>
    <w:p w14:paraId="454AFDCA" w14:textId="77777777" w:rsidR="00912452" w:rsidRPr="00637B3D" w:rsidRDefault="00912452" w:rsidP="00912452">
      <w:pPr>
        <w:numPr>
          <w:ilvl w:val="0"/>
          <w:numId w:val="3"/>
        </w:numPr>
        <w:jc w:val="both"/>
        <w:rPr>
          <w:lang w:val="fr-FR"/>
        </w:rPr>
      </w:pPr>
      <w:r w:rsidRPr="00637B3D">
        <w:rPr>
          <w:b/>
          <w:bCs/>
        </w:rPr>
        <w:t>Kokshagina, O.,</w:t>
      </w:r>
      <w:r w:rsidRPr="00637B3D">
        <w:t xml:space="preserve"> </w:t>
      </w:r>
      <w:proofErr w:type="spellStart"/>
      <w:r w:rsidRPr="00637B3D">
        <w:t>Dąbrowska</w:t>
      </w:r>
      <w:proofErr w:type="spellEnd"/>
      <w:r w:rsidRPr="00637B3D">
        <w:t xml:space="preserve">, J. &amp; </w:t>
      </w:r>
      <w:proofErr w:type="spellStart"/>
      <w:r w:rsidRPr="00637B3D">
        <w:t>Balcell</w:t>
      </w:r>
      <w:proofErr w:type="spellEnd"/>
      <w:r w:rsidRPr="00637B3D">
        <w:t xml:space="preserve">, M.P. (2024) Crowd-Resourcing in Response to the COVID-19 Pandemic: A Resource Transformation Perspective.  </w:t>
      </w:r>
      <w:r w:rsidRPr="00637B3D">
        <w:rPr>
          <w:i/>
          <w:iCs/>
        </w:rPr>
        <w:t>IEEE Transactions on Engineering Management, 71</w:t>
      </w:r>
      <w:r w:rsidRPr="00637B3D">
        <w:t xml:space="preserve">, pp. 11936-11950, 2024, </w:t>
      </w:r>
      <w:proofErr w:type="spellStart"/>
      <w:r w:rsidRPr="00637B3D">
        <w:t>doi</w:t>
      </w:r>
      <w:proofErr w:type="spellEnd"/>
      <w:r w:rsidRPr="00637B3D">
        <w:t>: 10.1109/TEM.2022.3233587. </w:t>
      </w:r>
      <w:r w:rsidRPr="00637B3D">
        <w:rPr>
          <w:lang w:val="fr-FR"/>
        </w:rPr>
        <w:t>  </w:t>
      </w:r>
    </w:p>
    <w:p w14:paraId="68F6FBEE" w14:textId="77777777" w:rsidR="00912452" w:rsidRPr="00637B3D" w:rsidRDefault="00912452" w:rsidP="00912452">
      <w:pPr>
        <w:numPr>
          <w:ilvl w:val="0"/>
          <w:numId w:val="4"/>
        </w:numPr>
        <w:jc w:val="both"/>
        <w:rPr>
          <w:lang w:val="fr-FR"/>
        </w:rPr>
      </w:pPr>
      <w:r w:rsidRPr="00637B3D">
        <w:rPr>
          <w:b/>
          <w:bCs/>
        </w:rPr>
        <w:t xml:space="preserve">Kulkov, I., Kulkova, J., </w:t>
      </w:r>
      <w:proofErr w:type="spellStart"/>
      <w:r w:rsidRPr="00637B3D">
        <w:rPr>
          <w:b/>
          <w:bCs/>
        </w:rPr>
        <w:t>Rohrbeck</w:t>
      </w:r>
      <w:proofErr w:type="spellEnd"/>
      <w:r w:rsidRPr="00637B3D">
        <w:rPr>
          <w:b/>
          <w:bCs/>
        </w:rPr>
        <w:t>, R., &amp; Menvielle, L.</w:t>
      </w:r>
      <w:r w:rsidRPr="00637B3D">
        <w:t xml:space="preserve"> (2024). Artificial intelligence‐driven sustainable development: Examining organizational, technical, and processing approaches to achieving global goals. </w:t>
      </w:r>
      <w:proofErr w:type="spellStart"/>
      <w:r w:rsidRPr="00637B3D">
        <w:rPr>
          <w:i/>
          <w:iCs/>
          <w:lang w:val="fr-FR"/>
        </w:rPr>
        <w:t>Sustainable</w:t>
      </w:r>
      <w:proofErr w:type="spellEnd"/>
      <w:r w:rsidRPr="00637B3D">
        <w:rPr>
          <w:i/>
          <w:iCs/>
          <w:lang w:val="fr-FR"/>
        </w:rPr>
        <w:t xml:space="preserve"> </w:t>
      </w:r>
      <w:proofErr w:type="spellStart"/>
      <w:r w:rsidRPr="00637B3D">
        <w:rPr>
          <w:i/>
          <w:iCs/>
          <w:lang w:val="fr-FR"/>
        </w:rPr>
        <w:t>Development</w:t>
      </w:r>
      <w:proofErr w:type="spellEnd"/>
      <w:r w:rsidRPr="00637B3D">
        <w:rPr>
          <w:i/>
          <w:iCs/>
          <w:lang w:val="fr-FR"/>
        </w:rPr>
        <w:t>, 32</w:t>
      </w:r>
      <w:r w:rsidRPr="00637B3D">
        <w:rPr>
          <w:lang w:val="fr-FR"/>
        </w:rPr>
        <w:t xml:space="preserve">(3), 2253-2267. </w:t>
      </w:r>
      <w:hyperlink r:id="rId8" w:tgtFrame="_blank" w:history="1">
        <w:r w:rsidRPr="00637B3D">
          <w:rPr>
            <w:rStyle w:val="Lienhypertexte"/>
            <w:lang w:val="fr-FR"/>
          </w:rPr>
          <w:t>https://doi.org/10.1002/sd.2401</w:t>
        </w:r>
      </w:hyperlink>
      <w:r w:rsidRPr="00637B3D">
        <w:rPr>
          <w:lang w:val="fr-FR"/>
        </w:rPr>
        <w:t>  </w:t>
      </w:r>
    </w:p>
    <w:p w14:paraId="662BD996" w14:textId="77777777" w:rsidR="00912452" w:rsidRPr="00637B3D" w:rsidRDefault="00912452" w:rsidP="00912452">
      <w:pPr>
        <w:numPr>
          <w:ilvl w:val="0"/>
          <w:numId w:val="5"/>
        </w:numPr>
        <w:jc w:val="both"/>
        <w:rPr>
          <w:lang w:val="en-US"/>
        </w:rPr>
      </w:pPr>
      <w:r w:rsidRPr="00637B3D">
        <w:rPr>
          <w:b/>
          <w:bCs/>
        </w:rPr>
        <w:t xml:space="preserve">Kulkov, I., Kulkova, J., Leone, D., </w:t>
      </w:r>
      <w:proofErr w:type="spellStart"/>
      <w:r w:rsidRPr="00637B3D">
        <w:rPr>
          <w:b/>
          <w:bCs/>
        </w:rPr>
        <w:t>Rohrbeck</w:t>
      </w:r>
      <w:proofErr w:type="spellEnd"/>
      <w:r w:rsidRPr="00637B3D">
        <w:rPr>
          <w:b/>
          <w:bCs/>
        </w:rPr>
        <w:t>, R., &amp; Menvielle,</w:t>
      </w:r>
      <w:r w:rsidRPr="00637B3D">
        <w:t xml:space="preserve"> L. (2024). Stand-alone or run together: Artificial intelligence as an enabler for other technologies. </w:t>
      </w:r>
      <w:r w:rsidRPr="00637B3D">
        <w:rPr>
          <w:i/>
          <w:iCs/>
        </w:rPr>
        <w:t xml:space="preserve">International Journal of Entrepreneurial </w:t>
      </w:r>
      <w:proofErr w:type="spellStart"/>
      <w:r w:rsidRPr="00637B3D">
        <w:rPr>
          <w:i/>
          <w:iCs/>
        </w:rPr>
        <w:t>Behavior</w:t>
      </w:r>
      <w:proofErr w:type="spellEnd"/>
      <w:r w:rsidRPr="00637B3D">
        <w:rPr>
          <w:i/>
          <w:iCs/>
        </w:rPr>
        <w:t xml:space="preserve"> &amp; Research, 30</w:t>
      </w:r>
      <w:r w:rsidRPr="00637B3D">
        <w:t xml:space="preserve">(8), 2082-2105. </w:t>
      </w:r>
      <w:hyperlink r:id="rId9" w:tgtFrame="_blank" w:history="1">
        <w:r w:rsidRPr="00637B3D">
          <w:rPr>
            <w:rStyle w:val="Lienhypertexte"/>
          </w:rPr>
          <w:t>https://doi.org/10.1108/IJEBR-12-2021-0987</w:t>
        </w:r>
      </w:hyperlink>
      <w:r w:rsidRPr="00637B3D">
        <w:t> </w:t>
      </w:r>
      <w:r w:rsidRPr="00637B3D">
        <w:rPr>
          <w:lang w:val="en-US"/>
        </w:rPr>
        <w:t> </w:t>
      </w:r>
    </w:p>
    <w:p w14:paraId="3B47408F" w14:textId="77777777" w:rsidR="00912452" w:rsidRDefault="00912452" w:rsidP="00912452">
      <w:pPr>
        <w:numPr>
          <w:ilvl w:val="0"/>
          <w:numId w:val="6"/>
        </w:numPr>
        <w:jc w:val="both"/>
        <w:rPr>
          <w:lang w:val="fr-FR"/>
        </w:rPr>
      </w:pPr>
      <w:r w:rsidRPr="00637B3D">
        <w:rPr>
          <w:b/>
          <w:bCs/>
          <w:lang w:val="fr-FR"/>
        </w:rPr>
        <w:t>Kokshagina, O.</w:t>
      </w:r>
      <w:r w:rsidRPr="00637B3D">
        <w:rPr>
          <w:lang w:val="fr-FR"/>
        </w:rPr>
        <w:t xml:space="preserve">, Le Masson, P., &amp; Luo, J. (2024). </w:t>
      </w:r>
      <w:r w:rsidRPr="00637B3D">
        <w:t xml:space="preserve">Beyond the data fads: Impact of big data on contemporary innovation and technology management. </w:t>
      </w:r>
      <w:proofErr w:type="spellStart"/>
      <w:r w:rsidRPr="00637B3D">
        <w:rPr>
          <w:i/>
          <w:iCs/>
          <w:lang w:val="fr-FR"/>
        </w:rPr>
        <w:t>Technovation</w:t>
      </w:r>
      <w:proofErr w:type="spellEnd"/>
      <w:r w:rsidRPr="00637B3D">
        <w:rPr>
          <w:i/>
          <w:iCs/>
          <w:lang w:val="fr-FR"/>
        </w:rPr>
        <w:t>, 134,</w:t>
      </w:r>
      <w:r w:rsidRPr="00637B3D">
        <w:rPr>
          <w:lang w:val="fr-FR"/>
        </w:rPr>
        <w:t xml:space="preserve"> 103026. </w:t>
      </w:r>
      <w:hyperlink r:id="rId10" w:tgtFrame="_blank" w:history="1">
        <w:r w:rsidRPr="00637B3D">
          <w:rPr>
            <w:rStyle w:val="Lienhypertexte"/>
            <w:lang w:val="fr-FR"/>
          </w:rPr>
          <w:t>https://doi.org/10.1016/j.technovation.2023.103026</w:t>
        </w:r>
      </w:hyperlink>
      <w:r w:rsidRPr="00637B3D">
        <w:rPr>
          <w:lang w:val="fr-FR"/>
        </w:rPr>
        <w:t>  </w:t>
      </w:r>
    </w:p>
    <w:p w14:paraId="37848B76" w14:textId="77777777" w:rsidR="00912452" w:rsidRPr="00637B3D" w:rsidRDefault="00912452" w:rsidP="00912452">
      <w:pPr>
        <w:numPr>
          <w:ilvl w:val="0"/>
          <w:numId w:val="6"/>
        </w:numPr>
        <w:jc w:val="both"/>
        <w:rPr>
          <w:lang w:val="fr-FR"/>
        </w:rPr>
      </w:pPr>
      <w:r w:rsidRPr="00637B3D">
        <w:rPr>
          <w:b/>
          <w:bCs/>
        </w:rPr>
        <w:t>Kokshagina, O.,</w:t>
      </w:r>
      <w:r w:rsidRPr="00637B3D">
        <w:t xml:space="preserve"> </w:t>
      </w:r>
      <w:proofErr w:type="spellStart"/>
      <w:r w:rsidRPr="00637B3D">
        <w:t>Bridier</w:t>
      </w:r>
      <w:proofErr w:type="spellEnd"/>
      <w:r w:rsidRPr="00637B3D">
        <w:t>, E., &amp; Hakim, J. (2023). When stigma meets crisis: reducing stigma by association during COVID-19. </w:t>
      </w:r>
      <w:r w:rsidRPr="00637B3D">
        <w:rPr>
          <w:i/>
          <w:iCs/>
        </w:rPr>
        <w:t>BMJ leader</w:t>
      </w:r>
      <w:r w:rsidRPr="00637B3D">
        <w:t>, </w:t>
      </w:r>
      <w:r w:rsidRPr="00637B3D">
        <w:rPr>
          <w:i/>
          <w:iCs/>
        </w:rPr>
        <w:t>7</w:t>
      </w:r>
      <w:r w:rsidRPr="00637B3D">
        <w:t xml:space="preserve">(3), 212–216. </w:t>
      </w:r>
      <w:hyperlink r:id="rId11" w:tgtFrame="_blank" w:history="1">
        <w:r w:rsidRPr="00637B3D">
          <w:rPr>
            <w:rStyle w:val="Lienhypertexte"/>
            <w:lang w:val="fr-FR"/>
          </w:rPr>
          <w:t>https://doi.org/10.1136/leader-2020-000421</w:t>
        </w:r>
      </w:hyperlink>
      <w:r w:rsidRPr="00637B3D">
        <w:rPr>
          <w:lang w:val="fr-FR"/>
        </w:rPr>
        <w:t>  </w:t>
      </w:r>
    </w:p>
    <w:p w14:paraId="72E6FBB7" w14:textId="77777777" w:rsidR="00912452" w:rsidRPr="00637B3D" w:rsidRDefault="00912452" w:rsidP="00912452">
      <w:pPr>
        <w:numPr>
          <w:ilvl w:val="0"/>
          <w:numId w:val="7"/>
        </w:numPr>
        <w:jc w:val="both"/>
        <w:rPr>
          <w:lang w:val="en-US"/>
        </w:rPr>
      </w:pPr>
      <w:r w:rsidRPr="00637B3D">
        <w:rPr>
          <w:b/>
          <w:bCs/>
        </w:rPr>
        <w:lastRenderedPageBreak/>
        <w:t>Kulkov, I</w:t>
      </w:r>
      <w:r w:rsidRPr="00637B3D">
        <w:t>., Ivanova-</w:t>
      </w:r>
      <w:proofErr w:type="spellStart"/>
      <w:r w:rsidRPr="00637B3D">
        <w:t>Gongne</w:t>
      </w:r>
      <w:proofErr w:type="spellEnd"/>
      <w:r w:rsidRPr="00637B3D">
        <w:t xml:space="preserve">, M., Bertello, A., Makkonen, H., </w:t>
      </w:r>
      <w:r w:rsidRPr="00637B3D">
        <w:rPr>
          <w:b/>
          <w:bCs/>
        </w:rPr>
        <w:t xml:space="preserve">Kulkova, J., </w:t>
      </w:r>
      <w:proofErr w:type="spellStart"/>
      <w:r w:rsidRPr="00637B3D">
        <w:rPr>
          <w:b/>
          <w:bCs/>
        </w:rPr>
        <w:t>Rohrbeck</w:t>
      </w:r>
      <w:proofErr w:type="spellEnd"/>
      <w:r w:rsidRPr="00637B3D">
        <w:rPr>
          <w:b/>
          <w:bCs/>
        </w:rPr>
        <w:t>, R,</w:t>
      </w:r>
      <w:r w:rsidRPr="00637B3D">
        <w:t xml:space="preserve"> &amp; Ferraris, A. (2023). Technology entrepreneurship in healthcare: Challenges and opportunities for value creation. </w:t>
      </w:r>
      <w:r w:rsidRPr="00637B3D">
        <w:rPr>
          <w:i/>
          <w:iCs/>
        </w:rPr>
        <w:t>Journal of Innovation &amp; Knowledge, 8</w:t>
      </w:r>
      <w:r w:rsidRPr="00637B3D">
        <w:t xml:space="preserve">(2), 100365, ISSN 2444-569X, </w:t>
      </w:r>
      <w:hyperlink r:id="rId12" w:tgtFrame="_blank" w:history="1">
        <w:r w:rsidRPr="00637B3D">
          <w:rPr>
            <w:rStyle w:val="Lienhypertexte"/>
          </w:rPr>
          <w:t>https://doi.org/10.1016/j.jik.2023.100365</w:t>
        </w:r>
      </w:hyperlink>
      <w:r w:rsidRPr="00637B3D">
        <w:t>. </w:t>
      </w:r>
      <w:r w:rsidRPr="00637B3D">
        <w:rPr>
          <w:lang w:val="en-US"/>
        </w:rPr>
        <w:t> </w:t>
      </w:r>
    </w:p>
    <w:p w14:paraId="2253911F" w14:textId="77777777" w:rsidR="00912452" w:rsidRPr="00637B3D" w:rsidRDefault="00912452" w:rsidP="00912452">
      <w:pPr>
        <w:numPr>
          <w:ilvl w:val="0"/>
          <w:numId w:val="8"/>
        </w:numPr>
        <w:jc w:val="both"/>
        <w:rPr>
          <w:lang w:val="en-US"/>
        </w:rPr>
      </w:pPr>
      <w:r w:rsidRPr="00637B3D">
        <w:rPr>
          <w:b/>
          <w:bCs/>
        </w:rPr>
        <w:t xml:space="preserve">Kulkova, J., Kulkov, I., </w:t>
      </w:r>
      <w:proofErr w:type="spellStart"/>
      <w:r w:rsidRPr="00637B3D">
        <w:rPr>
          <w:b/>
          <w:bCs/>
        </w:rPr>
        <w:t>Rohrbeck</w:t>
      </w:r>
      <w:proofErr w:type="spellEnd"/>
      <w:r w:rsidRPr="00637B3D">
        <w:rPr>
          <w:b/>
          <w:bCs/>
        </w:rPr>
        <w:t>, R.,</w:t>
      </w:r>
      <w:r w:rsidRPr="00637B3D">
        <w:t xml:space="preserve"> Lu, S., Khwaja, A., </w:t>
      </w:r>
      <w:proofErr w:type="spellStart"/>
      <w:r w:rsidRPr="00637B3D">
        <w:t>Karjaluoto</w:t>
      </w:r>
      <w:proofErr w:type="spellEnd"/>
      <w:r w:rsidRPr="00637B3D">
        <w:t xml:space="preserve">, H., &amp; Mero, J. (2023). Medicine of the future: How and who is going to treat </w:t>
      </w:r>
      <w:proofErr w:type="gramStart"/>
      <w:r w:rsidRPr="00637B3D">
        <w:t>us?,</w:t>
      </w:r>
      <w:proofErr w:type="gramEnd"/>
      <w:r w:rsidRPr="00637B3D">
        <w:t xml:space="preserve"> </w:t>
      </w:r>
      <w:r w:rsidRPr="00637B3D">
        <w:rPr>
          <w:i/>
          <w:iCs/>
        </w:rPr>
        <w:t>Futures, 146</w:t>
      </w:r>
      <w:r w:rsidRPr="00637B3D">
        <w:t>, 103097, ISSN 0016-3287, https://doi.org/10.1016/j.futures.2023.103097. </w:t>
      </w:r>
      <w:r w:rsidRPr="00637B3D">
        <w:rPr>
          <w:lang w:val="en-US"/>
        </w:rPr>
        <w:t> </w:t>
      </w:r>
    </w:p>
    <w:p w14:paraId="7AF30CA1" w14:textId="77777777" w:rsidR="00912452" w:rsidRPr="00637B3D" w:rsidRDefault="00912452" w:rsidP="00912452">
      <w:pPr>
        <w:numPr>
          <w:ilvl w:val="0"/>
          <w:numId w:val="9"/>
        </w:numPr>
        <w:jc w:val="both"/>
        <w:rPr>
          <w:lang w:val="fr-FR"/>
        </w:rPr>
      </w:pPr>
      <w:r w:rsidRPr="00637B3D">
        <w:rPr>
          <w:b/>
          <w:bCs/>
          <w:lang w:val="fr-FR"/>
        </w:rPr>
        <w:t>Menvielle, L.,</w:t>
      </w:r>
      <w:r w:rsidRPr="00637B3D">
        <w:rPr>
          <w:lang w:val="fr-FR"/>
        </w:rPr>
        <w:t xml:space="preserve"> Mifsud, M., &amp; Ferchakhi, W. (2023) Le recours aux chabots médicaux, quels impacts sur la confiance et la satisfaction des utilisateurs : le cas applicatif du COVID 19. </w:t>
      </w:r>
      <w:r w:rsidRPr="00637B3D">
        <w:rPr>
          <w:i/>
          <w:iCs/>
          <w:lang w:val="fr-FR"/>
        </w:rPr>
        <w:t>10ème Colloque Santé, KEDGE Business School et ARAMOS</w:t>
      </w:r>
      <w:r w:rsidRPr="00637B3D">
        <w:rPr>
          <w:lang w:val="fr-FR"/>
        </w:rPr>
        <w:t xml:space="preserve">, Marseille, France. </w:t>
      </w:r>
      <w:r w:rsidRPr="00637B3D">
        <w:rPr>
          <w:rFonts w:ascii="Cambria Math" w:hAnsi="Cambria Math" w:cs="Cambria Math"/>
        </w:rPr>
        <w:t>⟨</w:t>
      </w:r>
      <w:r w:rsidRPr="00637B3D">
        <w:rPr>
          <w:lang w:val="fr-FR"/>
        </w:rPr>
        <w:t>hal-04474454</w:t>
      </w:r>
      <w:r w:rsidRPr="00637B3D">
        <w:rPr>
          <w:rFonts w:ascii="Cambria Math" w:hAnsi="Cambria Math" w:cs="Cambria Math"/>
        </w:rPr>
        <w:t>⟩</w:t>
      </w:r>
      <w:r w:rsidRPr="00637B3D">
        <w:rPr>
          <w:lang w:val="fr-FR"/>
        </w:rPr>
        <w:t>  </w:t>
      </w:r>
    </w:p>
    <w:p w14:paraId="5938696F" w14:textId="77777777" w:rsidR="00912452" w:rsidRPr="00637B3D" w:rsidRDefault="00912452" w:rsidP="00912452">
      <w:pPr>
        <w:numPr>
          <w:ilvl w:val="0"/>
          <w:numId w:val="10"/>
        </w:numPr>
        <w:jc w:val="both"/>
        <w:rPr>
          <w:lang w:val="fr-FR"/>
        </w:rPr>
      </w:pPr>
      <w:r w:rsidRPr="00637B3D">
        <w:t xml:space="preserve">Micallef, M., Keränen, J., &amp; </w:t>
      </w:r>
      <w:r w:rsidRPr="00637B3D">
        <w:rPr>
          <w:b/>
          <w:bCs/>
        </w:rPr>
        <w:t>Kokshagina, O</w:t>
      </w:r>
      <w:r w:rsidRPr="00637B3D">
        <w:t xml:space="preserve">. (2023). The (un)intended consequences of multi-sided platform adoption for different actors in business networks. </w:t>
      </w:r>
      <w:proofErr w:type="spellStart"/>
      <w:r w:rsidRPr="00637B3D">
        <w:rPr>
          <w:i/>
          <w:iCs/>
          <w:lang w:val="fr-FR"/>
        </w:rPr>
        <w:t>Industrial</w:t>
      </w:r>
      <w:proofErr w:type="spellEnd"/>
      <w:r w:rsidRPr="00637B3D">
        <w:rPr>
          <w:i/>
          <w:iCs/>
          <w:lang w:val="fr-FR"/>
        </w:rPr>
        <w:t xml:space="preserve"> Marketing Management, 115,</w:t>
      </w:r>
      <w:r w:rsidRPr="00637B3D">
        <w:rPr>
          <w:lang w:val="fr-FR"/>
        </w:rPr>
        <w:t xml:space="preserve"> 214-227. </w:t>
      </w:r>
      <w:hyperlink r:id="rId13" w:tgtFrame="_blank" w:history="1">
        <w:r w:rsidRPr="00637B3D">
          <w:rPr>
            <w:rStyle w:val="Lienhypertexte"/>
            <w:lang w:val="fr-FR"/>
          </w:rPr>
          <w:t>https://doi.org/10.1016/j.indmarman.2023.01.012</w:t>
        </w:r>
      </w:hyperlink>
      <w:r w:rsidRPr="00637B3D">
        <w:rPr>
          <w:lang w:val="fr-FR"/>
        </w:rPr>
        <w:t>  </w:t>
      </w:r>
    </w:p>
    <w:p w14:paraId="6431A55B" w14:textId="77777777" w:rsidR="00912452" w:rsidRPr="00FE53A8" w:rsidRDefault="00912452" w:rsidP="00912452">
      <w:pPr>
        <w:numPr>
          <w:ilvl w:val="0"/>
          <w:numId w:val="11"/>
        </w:numPr>
        <w:jc w:val="both"/>
        <w:rPr>
          <w:lang w:val="fr-FR"/>
        </w:rPr>
      </w:pPr>
      <w:r w:rsidRPr="00637B3D">
        <w:t xml:space="preserve">Vesty, G., </w:t>
      </w:r>
      <w:r w:rsidRPr="00637B3D">
        <w:rPr>
          <w:b/>
          <w:bCs/>
        </w:rPr>
        <w:t>Kokshagina, O.,</w:t>
      </w:r>
      <w:r w:rsidRPr="00637B3D">
        <w:t xml:space="preserve"> Jansson, M., Cheong, F., &amp; Butler-Henderson, K. (2023). Accounting, valuing and investing in healthcare: Dealing with outdated accounting models. </w:t>
      </w:r>
      <w:proofErr w:type="spellStart"/>
      <w:r w:rsidRPr="00637B3D">
        <w:rPr>
          <w:i/>
          <w:iCs/>
          <w:lang w:val="en-US"/>
        </w:rPr>
        <w:t>Meditari</w:t>
      </w:r>
      <w:proofErr w:type="spellEnd"/>
      <w:r w:rsidRPr="00637B3D">
        <w:rPr>
          <w:i/>
          <w:iCs/>
          <w:lang w:val="en-US"/>
        </w:rPr>
        <w:t xml:space="preserve"> Accountancy Research, 31</w:t>
      </w:r>
      <w:r w:rsidRPr="00637B3D">
        <w:rPr>
          <w:lang w:val="en-US"/>
        </w:rPr>
        <w:t xml:space="preserve">(1), 52-77. </w:t>
      </w:r>
      <w:hyperlink r:id="rId14" w:tgtFrame="_blank" w:history="1">
        <w:r w:rsidRPr="00637B3D">
          <w:rPr>
            <w:rStyle w:val="Lienhypertexte"/>
            <w:lang w:val="en-US"/>
          </w:rPr>
          <w:t>https://doi.org/10.1108/MEDAR-06-2021-1321</w:t>
        </w:r>
      </w:hyperlink>
      <w:r w:rsidRPr="00637B3D">
        <w:rPr>
          <w:lang w:val="en-US"/>
        </w:rPr>
        <w:t>  </w:t>
      </w:r>
    </w:p>
    <w:p w14:paraId="5FA192B0" w14:textId="77777777" w:rsidR="00912452" w:rsidRPr="00637B3D" w:rsidRDefault="00912452" w:rsidP="00912452">
      <w:pPr>
        <w:numPr>
          <w:ilvl w:val="0"/>
          <w:numId w:val="12"/>
        </w:numPr>
        <w:jc w:val="both"/>
        <w:rPr>
          <w:lang w:val="fr-FR"/>
        </w:rPr>
      </w:pPr>
      <w:r w:rsidRPr="00637B3D">
        <w:rPr>
          <w:lang w:val="fr-FR"/>
        </w:rPr>
        <w:t xml:space="preserve">François, J., Audrain-Pontevia, A.-F., </w:t>
      </w:r>
      <w:r w:rsidRPr="00637B3D">
        <w:rPr>
          <w:b/>
          <w:bCs/>
          <w:lang w:val="fr-FR"/>
        </w:rPr>
        <w:t>Menvielle, L.,</w:t>
      </w:r>
      <w:r w:rsidRPr="00637B3D">
        <w:rPr>
          <w:lang w:val="fr-FR"/>
        </w:rPr>
        <w:t xml:space="preserve"> &amp; Chevalier, Nicolas. </w:t>
      </w:r>
      <w:r w:rsidRPr="00637B3D">
        <w:t>(2022). Empowering Health Care consumers in the era of Internet‐of‐Things. International Journal of Consumer Studies. 47. 10.1111/ijcs.12887.</w:t>
      </w:r>
      <w:r w:rsidRPr="00637B3D">
        <w:rPr>
          <w:lang w:val="fr-FR"/>
        </w:rPr>
        <w:t>  </w:t>
      </w:r>
    </w:p>
    <w:p w14:paraId="548542BA" w14:textId="77777777" w:rsidR="00912452" w:rsidRPr="00637B3D" w:rsidRDefault="00912452" w:rsidP="00912452">
      <w:pPr>
        <w:numPr>
          <w:ilvl w:val="0"/>
          <w:numId w:val="13"/>
        </w:numPr>
        <w:jc w:val="both"/>
        <w:rPr>
          <w:lang w:val="fr-FR"/>
        </w:rPr>
      </w:pPr>
      <w:r w:rsidRPr="00637B3D">
        <w:t xml:space="preserve">Heiss, L., Hamilton, O., Coombs, G., Souza, R., </w:t>
      </w:r>
      <w:r w:rsidRPr="00637B3D">
        <w:rPr>
          <w:b/>
          <w:bCs/>
        </w:rPr>
        <w:t>Kokshagina, O.,</w:t>
      </w:r>
      <w:r w:rsidRPr="00637B3D">
        <w:t xml:space="preserve"> &amp; Foley, M. (2022). Mutuality as a Foundation for Co-designing Health Futures. 10.1007/978-981-19-4472-7_213. </w:t>
      </w:r>
      <w:r w:rsidRPr="00637B3D">
        <w:rPr>
          <w:lang w:val="fr-FR"/>
        </w:rPr>
        <w:t>  </w:t>
      </w:r>
    </w:p>
    <w:p w14:paraId="175DBCC7" w14:textId="77777777" w:rsidR="00912452" w:rsidRDefault="00912452" w:rsidP="00912452">
      <w:pPr>
        <w:numPr>
          <w:ilvl w:val="0"/>
          <w:numId w:val="14"/>
        </w:numPr>
        <w:jc w:val="both"/>
        <w:rPr>
          <w:lang w:val="en-US"/>
        </w:rPr>
      </w:pPr>
      <w:r w:rsidRPr="00637B3D">
        <w:rPr>
          <w:b/>
          <w:bCs/>
        </w:rPr>
        <w:t>Kokshagina, O</w:t>
      </w:r>
      <w:r w:rsidRPr="00637B3D">
        <w:t xml:space="preserve">. and Keränen, J. (2022). Institutionalizing value-based healthcare in a service system: a policy and document analysis over three decades. </w:t>
      </w:r>
      <w:r w:rsidRPr="00637B3D">
        <w:rPr>
          <w:i/>
          <w:iCs/>
        </w:rPr>
        <w:t>Journal of Business &amp; Industrial Marketing, 37</w:t>
      </w:r>
      <w:r w:rsidRPr="00637B3D">
        <w:t xml:space="preserve"> (8), pp. 1607-1622. https://doi.org/10.1108/JBIM-08-2020-0380 </w:t>
      </w:r>
      <w:r w:rsidRPr="00637B3D">
        <w:rPr>
          <w:lang w:val="en-US"/>
        </w:rPr>
        <w:t> </w:t>
      </w:r>
    </w:p>
    <w:p w14:paraId="021FE4A8" w14:textId="77777777" w:rsidR="00912452" w:rsidRPr="00637B3D" w:rsidRDefault="00912452" w:rsidP="00912452">
      <w:pPr>
        <w:numPr>
          <w:ilvl w:val="0"/>
          <w:numId w:val="14"/>
        </w:numPr>
        <w:jc w:val="both"/>
        <w:rPr>
          <w:lang w:val="en-US"/>
        </w:rPr>
      </w:pPr>
      <w:r w:rsidRPr="00637B3D">
        <w:t xml:space="preserve">Brodie, R. J., </w:t>
      </w:r>
      <w:r w:rsidRPr="00637B3D">
        <w:rPr>
          <w:b/>
          <w:bCs/>
        </w:rPr>
        <w:t>Ranjan, K.</w:t>
      </w:r>
      <w:r w:rsidRPr="00637B3D">
        <w:t xml:space="preserve"> R., </w:t>
      </w:r>
      <w:proofErr w:type="spellStart"/>
      <w:r w:rsidRPr="00637B3D">
        <w:t>Verreynne</w:t>
      </w:r>
      <w:proofErr w:type="spellEnd"/>
      <w:r w:rsidRPr="00637B3D">
        <w:t xml:space="preserve">, M. L., Jiang, Y., &amp; Previte, J. (2021). Coronavirus crisis and healthcare: Learning from a service ecosystem perspective. </w:t>
      </w:r>
      <w:r w:rsidRPr="00637B3D">
        <w:rPr>
          <w:i/>
          <w:iCs/>
        </w:rPr>
        <w:t>Journal of Service Theory and Practice, 31</w:t>
      </w:r>
      <w:r w:rsidRPr="00637B3D">
        <w:t xml:space="preserve">(2), 225-246. </w:t>
      </w:r>
      <w:hyperlink r:id="rId15" w:tgtFrame="_blank" w:history="1">
        <w:r w:rsidRPr="00637B3D">
          <w:rPr>
            <w:rStyle w:val="Lienhypertexte"/>
          </w:rPr>
          <w:t>https://doi.org/10.1108/JSTP-08-2020-0180</w:t>
        </w:r>
      </w:hyperlink>
      <w:r w:rsidRPr="00637B3D">
        <w:t> </w:t>
      </w:r>
      <w:r w:rsidRPr="00637B3D">
        <w:rPr>
          <w:lang w:val="en-US"/>
        </w:rPr>
        <w:t> </w:t>
      </w:r>
    </w:p>
    <w:p w14:paraId="1C93A3A7" w14:textId="77777777" w:rsidR="00912452" w:rsidRPr="00637B3D" w:rsidRDefault="00912452" w:rsidP="00912452">
      <w:pPr>
        <w:numPr>
          <w:ilvl w:val="0"/>
          <w:numId w:val="15"/>
        </w:numPr>
        <w:jc w:val="both"/>
        <w:rPr>
          <w:lang w:val="fr-FR"/>
        </w:rPr>
      </w:pPr>
      <w:r w:rsidRPr="00637B3D">
        <w:t xml:space="preserve">Heiss, L., &amp; </w:t>
      </w:r>
      <w:r w:rsidRPr="00637B3D">
        <w:rPr>
          <w:b/>
          <w:bCs/>
        </w:rPr>
        <w:t>Kokshagina, O.</w:t>
      </w:r>
      <w:r w:rsidRPr="00637B3D">
        <w:t xml:space="preserve"> (2021). Tactile co-design tools for complex interdisciplinary problem exploration in healthcare settings. </w:t>
      </w:r>
      <w:r w:rsidRPr="00637B3D">
        <w:rPr>
          <w:i/>
          <w:iCs/>
        </w:rPr>
        <w:t>Design Studies, 75</w:t>
      </w:r>
      <w:r w:rsidRPr="00637B3D">
        <w:t>, 101030. https://doi.org/10.1016/j.destud.2021.101030</w:t>
      </w:r>
      <w:r w:rsidRPr="00637B3D">
        <w:rPr>
          <w:lang w:val="fr-FR"/>
        </w:rPr>
        <w:t>  </w:t>
      </w:r>
    </w:p>
    <w:p w14:paraId="66F9EDFF" w14:textId="77777777" w:rsidR="00912452" w:rsidRPr="00637B3D" w:rsidRDefault="00912452" w:rsidP="00912452">
      <w:pPr>
        <w:numPr>
          <w:ilvl w:val="0"/>
          <w:numId w:val="16"/>
        </w:numPr>
        <w:jc w:val="both"/>
        <w:rPr>
          <w:lang w:val="fr-FR"/>
        </w:rPr>
      </w:pPr>
      <w:r w:rsidRPr="00637B3D">
        <w:rPr>
          <w:b/>
          <w:bCs/>
        </w:rPr>
        <w:t>Kokshagina, O</w:t>
      </w:r>
      <w:r w:rsidRPr="00637B3D">
        <w:t xml:space="preserve">. (2021). Managing shifts to value-based healthcare and value digitalization as a multi-level dynamic capability development process. </w:t>
      </w:r>
      <w:r w:rsidRPr="00637B3D">
        <w:rPr>
          <w:i/>
          <w:iCs/>
        </w:rPr>
        <w:t>Technological Forecasting and Social Change. 172</w:t>
      </w:r>
      <w:r w:rsidRPr="00637B3D">
        <w:t>. 121072. 10.1016/j.techfore.2021.121072.</w:t>
      </w:r>
      <w:r w:rsidRPr="00637B3D">
        <w:rPr>
          <w:lang w:val="fr-FR"/>
        </w:rPr>
        <w:t>  </w:t>
      </w:r>
    </w:p>
    <w:p w14:paraId="1D2C468D" w14:textId="77777777" w:rsidR="00912452" w:rsidRPr="00637B3D" w:rsidRDefault="00912452" w:rsidP="00912452">
      <w:pPr>
        <w:numPr>
          <w:ilvl w:val="0"/>
          <w:numId w:val="17"/>
        </w:numPr>
        <w:jc w:val="both"/>
        <w:rPr>
          <w:lang w:val="fr-FR"/>
        </w:rPr>
      </w:pPr>
      <w:r w:rsidRPr="00637B3D">
        <w:rPr>
          <w:b/>
          <w:bCs/>
        </w:rPr>
        <w:t>Ranjan, K. R.,</w:t>
      </w:r>
      <w:r w:rsidRPr="00637B3D">
        <w:t xml:space="preserve"> &amp; Read, S. (2021). An ecosystem perspective synthesis of co-creation research. </w:t>
      </w:r>
      <w:proofErr w:type="spellStart"/>
      <w:r w:rsidRPr="00637B3D">
        <w:rPr>
          <w:i/>
          <w:iCs/>
          <w:lang w:val="fr-FR"/>
        </w:rPr>
        <w:t>Industrial</w:t>
      </w:r>
      <w:proofErr w:type="spellEnd"/>
      <w:r w:rsidRPr="00637B3D">
        <w:rPr>
          <w:i/>
          <w:iCs/>
          <w:lang w:val="fr-FR"/>
        </w:rPr>
        <w:t xml:space="preserve"> Marketing Management, 99</w:t>
      </w:r>
      <w:r w:rsidRPr="00637B3D">
        <w:rPr>
          <w:lang w:val="fr-FR"/>
        </w:rPr>
        <w:t xml:space="preserve">, 79-96. </w:t>
      </w:r>
      <w:hyperlink r:id="rId16" w:tgtFrame="_blank" w:history="1">
        <w:r w:rsidRPr="00637B3D">
          <w:rPr>
            <w:rStyle w:val="Lienhypertexte"/>
            <w:lang w:val="fr-FR"/>
          </w:rPr>
          <w:t>https://doi.org/10.1016/j.indmarman.2021.08.010</w:t>
        </w:r>
      </w:hyperlink>
      <w:r w:rsidRPr="00637B3D">
        <w:rPr>
          <w:lang w:val="fr-FR"/>
        </w:rPr>
        <w:t>  </w:t>
      </w:r>
    </w:p>
    <w:p w14:paraId="469B4CD0" w14:textId="77777777" w:rsidR="00912452" w:rsidRPr="00637B3D" w:rsidRDefault="00912452" w:rsidP="00912452">
      <w:pPr>
        <w:numPr>
          <w:ilvl w:val="0"/>
          <w:numId w:val="18"/>
        </w:numPr>
        <w:jc w:val="both"/>
        <w:rPr>
          <w:lang w:val="fr-FR"/>
        </w:rPr>
      </w:pPr>
      <w:r w:rsidRPr="00637B3D">
        <w:rPr>
          <w:b/>
          <w:bCs/>
        </w:rPr>
        <w:lastRenderedPageBreak/>
        <w:t>Ranjan, K</w:t>
      </w:r>
      <w:r w:rsidRPr="00637B3D">
        <w:t xml:space="preserve">., Rohit, S., &amp; </w:t>
      </w:r>
      <w:r w:rsidRPr="00637B3D">
        <w:rPr>
          <w:b/>
          <w:bCs/>
        </w:rPr>
        <w:t>Dash, R.,</w:t>
      </w:r>
      <w:r w:rsidRPr="00637B3D">
        <w:t xml:space="preserve"> Singh, R. (2021). Thinking, feeling and coping by </w:t>
      </w:r>
      <w:proofErr w:type="spellStart"/>
      <w:r w:rsidRPr="00637B3D">
        <w:t>BoP</w:t>
      </w:r>
      <w:proofErr w:type="spellEnd"/>
      <w:r w:rsidRPr="00637B3D">
        <w:t xml:space="preserve"> healthcare consumers: policy-based intervention in an emerging market. </w:t>
      </w:r>
      <w:r w:rsidRPr="00637B3D">
        <w:rPr>
          <w:i/>
          <w:iCs/>
          <w:lang w:val="fr-FR"/>
        </w:rPr>
        <w:t>Journal of Marketing Management. 37</w:t>
      </w:r>
      <w:r w:rsidRPr="00637B3D">
        <w:rPr>
          <w:lang w:val="fr-FR"/>
        </w:rPr>
        <w:t>. 1-48. 10.1080/0267257X.2020.1862279.   </w:t>
      </w:r>
    </w:p>
    <w:p w14:paraId="4EDEAD3D" w14:textId="77777777" w:rsidR="00912452" w:rsidRPr="00637B3D" w:rsidRDefault="00912452" w:rsidP="00912452">
      <w:pPr>
        <w:numPr>
          <w:ilvl w:val="0"/>
          <w:numId w:val="19"/>
        </w:numPr>
        <w:jc w:val="both"/>
        <w:rPr>
          <w:lang w:val="fr-FR"/>
        </w:rPr>
      </w:pPr>
      <w:r w:rsidRPr="00637B3D">
        <w:t xml:space="preserve">Abbasi, B., </w:t>
      </w:r>
      <w:proofErr w:type="spellStart"/>
      <w:r w:rsidRPr="00637B3D">
        <w:t>Fadaki</w:t>
      </w:r>
      <w:proofErr w:type="spellEnd"/>
      <w:r w:rsidRPr="00637B3D">
        <w:t xml:space="preserve">, M., </w:t>
      </w:r>
      <w:r w:rsidRPr="00637B3D">
        <w:rPr>
          <w:b/>
          <w:bCs/>
        </w:rPr>
        <w:t>Kokshagina, O</w:t>
      </w:r>
      <w:r w:rsidRPr="00637B3D">
        <w:t xml:space="preserve">., Saeed, N., Chhetri, P. (2020). </w:t>
      </w:r>
      <w:proofErr w:type="spellStart"/>
      <w:r w:rsidRPr="00637B3D">
        <w:t>Modeling</w:t>
      </w:r>
      <w:proofErr w:type="spellEnd"/>
      <w:r w:rsidRPr="00637B3D">
        <w:t xml:space="preserve"> Vaccine Allocations in the COVID-19 Pandemic: A Case Study in Australia. </w:t>
      </w:r>
      <w:r w:rsidRPr="00637B3D">
        <w:rPr>
          <w:i/>
          <w:iCs/>
          <w:lang w:val="fr-FR"/>
        </w:rPr>
        <w:t xml:space="preserve">SSRN </w:t>
      </w:r>
      <w:proofErr w:type="spellStart"/>
      <w:r w:rsidRPr="00637B3D">
        <w:rPr>
          <w:i/>
          <w:iCs/>
          <w:lang w:val="fr-FR"/>
        </w:rPr>
        <w:t>Electronic</w:t>
      </w:r>
      <w:proofErr w:type="spellEnd"/>
      <w:r w:rsidRPr="00637B3D">
        <w:rPr>
          <w:i/>
          <w:iCs/>
          <w:lang w:val="fr-FR"/>
        </w:rPr>
        <w:t xml:space="preserve"> Journal</w:t>
      </w:r>
      <w:r w:rsidRPr="00637B3D">
        <w:rPr>
          <w:lang w:val="fr-FR"/>
        </w:rPr>
        <w:t>. 10.2139/ssrn.3744520.  </w:t>
      </w:r>
    </w:p>
    <w:p w14:paraId="4FA8E9A8" w14:textId="77777777" w:rsidR="00912452" w:rsidRPr="00637B3D" w:rsidRDefault="00912452" w:rsidP="00912452">
      <w:pPr>
        <w:numPr>
          <w:ilvl w:val="0"/>
          <w:numId w:val="20"/>
        </w:numPr>
        <w:jc w:val="both"/>
        <w:rPr>
          <w:lang w:val="fr-FR"/>
        </w:rPr>
      </w:pPr>
      <w:r w:rsidRPr="00637B3D">
        <w:rPr>
          <w:b/>
          <w:bCs/>
          <w:lang w:val="fr-FR"/>
        </w:rPr>
        <w:t>Kokshagina, O</w:t>
      </w:r>
      <w:r w:rsidRPr="00637B3D">
        <w:rPr>
          <w:lang w:val="fr-FR"/>
        </w:rPr>
        <w:t xml:space="preserve">., Schneider, S. (2020). Digital technologies &amp; </w:t>
      </w:r>
      <w:proofErr w:type="spellStart"/>
      <w:r w:rsidRPr="00637B3D">
        <w:rPr>
          <w:lang w:val="fr-FR"/>
        </w:rPr>
        <w:t>workplace</w:t>
      </w:r>
      <w:proofErr w:type="spellEnd"/>
      <w:r w:rsidRPr="00637B3D">
        <w:rPr>
          <w:lang w:val="fr-FR"/>
        </w:rPr>
        <w:t xml:space="preserve"> </w:t>
      </w:r>
      <w:proofErr w:type="gramStart"/>
      <w:r w:rsidRPr="00637B3D">
        <w:rPr>
          <w:lang w:val="fr-FR"/>
        </w:rPr>
        <w:t>transformation:</w:t>
      </w:r>
      <w:proofErr w:type="gramEnd"/>
      <w:r w:rsidRPr="00637B3D">
        <w:rPr>
          <w:lang w:val="fr-FR"/>
        </w:rPr>
        <w:t xml:space="preserve"> A </w:t>
      </w:r>
      <w:proofErr w:type="spellStart"/>
      <w:r w:rsidRPr="00637B3D">
        <w:rPr>
          <w:lang w:val="fr-FR"/>
        </w:rPr>
        <w:t>paradox</w:t>
      </w:r>
      <w:proofErr w:type="spellEnd"/>
      <w:r w:rsidRPr="00637B3D">
        <w:rPr>
          <w:lang w:val="fr-FR"/>
        </w:rPr>
        <w:t xml:space="preserve"> </w:t>
      </w:r>
      <w:proofErr w:type="spellStart"/>
      <w:r w:rsidRPr="00637B3D">
        <w:rPr>
          <w:lang w:val="fr-FR"/>
        </w:rPr>
        <w:t>theory</w:t>
      </w:r>
      <w:proofErr w:type="spellEnd"/>
      <w:r w:rsidRPr="00637B3D">
        <w:rPr>
          <w:lang w:val="fr-FR"/>
        </w:rPr>
        <w:t xml:space="preserve"> perspective. </w:t>
      </w:r>
      <w:r w:rsidRPr="00637B3D">
        <w:rPr>
          <w:i/>
          <w:iCs/>
          <w:lang w:val="fr-FR"/>
        </w:rPr>
        <w:t>California Management Review, 65</w:t>
      </w:r>
      <w:r w:rsidRPr="00637B3D">
        <w:rPr>
          <w:lang w:val="fr-FR"/>
        </w:rPr>
        <w:t xml:space="preserve">(2), 129-155. </w:t>
      </w:r>
      <w:hyperlink r:id="rId17" w:tgtFrame="_blank" w:history="1">
        <w:r w:rsidRPr="00637B3D">
          <w:rPr>
            <w:rStyle w:val="Lienhypertexte"/>
            <w:lang w:val="fr-FR"/>
          </w:rPr>
          <w:t>https://doi.org/10.1177/00081256221138456</w:t>
        </w:r>
      </w:hyperlink>
      <w:r w:rsidRPr="00637B3D">
        <w:rPr>
          <w:lang w:val="fr-FR"/>
        </w:rPr>
        <w:t>  </w:t>
      </w:r>
    </w:p>
    <w:p w14:paraId="1E18AC79" w14:textId="77777777" w:rsidR="00912452" w:rsidRPr="00637B3D" w:rsidRDefault="00912452" w:rsidP="00912452">
      <w:pPr>
        <w:numPr>
          <w:ilvl w:val="0"/>
          <w:numId w:val="21"/>
        </w:numPr>
        <w:jc w:val="both"/>
        <w:rPr>
          <w:lang w:val="en-US"/>
        </w:rPr>
      </w:pPr>
      <w:r w:rsidRPr="00637B3D">
        <w:rPr>
          <w:lang w:val="fr-FR"/>
        </w:rPr>
        <w:t xml:space="preserve">Audrain-Pontevia, A. F., </w:t>
      </w:r>
      <w:r w:rsidRPr="00637B3D">
        <w:rPr>
          <w:b/>
          <w:bCs/>
          <w:lang w:val="fr-FR"/>
        </w:rPr>
        <w:t>Menvielle, L</w:t>
      </w:r>
      <w:r w:rsidRPr="00637B3D">
        <w:rPr>
          <w:lang w:val="fr-FR"/>
        </w:rPr>
        <w:t xml:space="preserve">., &amp; Ertz, M. (2019). </w:t>
      </w:r>
      <w:r w:rsidRPr="00637B3D">
        <w:t>Effects of Three Antecedents of Patient Compliance for Users of Peer-to-Peer Online Health Communities: Cross-Sectional Study. </w:t>
      </w:r>
      <w:r w:rsidRPr="00637B3D">
        <w:rPr>
          <w:i/>
          <w:iCs/>
        </w:rPr>
        <w:t>Journal of medical Internet research</w:t>
      </w:r>
      <w:r w:rsidRPr="00637B3D">
        <w:t>, </w:t>
      </w:r>
      <w:r w:rsidRPr="00637B3D">
        <w:rPr>
          <w:i/>
          <w:iCs/>
        </w:rPr>
        <w:t>21</w:t>
      </w:r>
      <w:r w:rsidRPr="00637B3D">
        <w:t>(11), e14006. https://doi.org/10.2196/14006 </w:t>
      </w:r>
      <w:r w:rsidRPr="00637B3D">
        <w:rPr>
          <w:lang w:val="en-US"/>
        </w:rPr>
        <w:t>   </w:t>
      </w:r>
    </w:p>
    <w:p w14:paraId="339D5AA6" w14:textId="77777777" w:rsidR="00912452" w:rsidRPr="00637B3D" w:rsidRDefault="00912452" w:rsidP="00912452">
      <w:pPr>
        <w:numPr>
          <w:ilvl w:val="0"/>
          <w:numId w:val="22"/>
        </w:numPr>
        <w:jc w:val="both"/>
        <w:rPr>
          <w:lang w:val="en-US"/>
        </w:rPr>
      </w:pPr>
      <w:r w:rsidRPr="00637B3D">
        <w:rPr>
          <w:lang w:val="fr-FR"/>
        </w:rPr>
        <w:t xml:space="preserve">Audrain-Pontevia, A. F., &amp; </w:t>
      </w:r>
      <w:r w:rsidRPr="00637B3D">
        <w:rPr>
          <w:b/>
          <w:bCs/>
          <w:lang w:val="fr-FR"/>
        </w:rPr>
        <w:t>Menvielle, L.</w:t>
      </w:r>
      <w:r w:rsidRPr="00637B3D">
        <w:rPr>
          <w:lang w:val="fr-FR"/>
        </w:rPr>
        <w:t xml:space="preserve"> (2018). </w:t>
      </w:r>
      <w:r w:rsidRPr="00637B3D">
        <w:t>Do online health communities enhance patient-physician relationship? An assessment of the impact of social support and patient empowerment. </w:t>
      </w:r>
      <w:r w:rsidRPr="00637B3D">
        <w:rPr>
          <w:i/>
          <w:iCs/>
        </w:rPr>
        <w:t>Health services management research</w:t>
      </w:r>
      <w:r w:rsidRPr="00637B3D">
        <w:t>, </w:t>
      </w:r>
      <w:r w:rsidRPr="00637B3D">
        <w:rPr>
          <w:i/>
          <w:iCs/>
        </w:rPr>
        <w:t>31</w:t>
      </w:r>
      <w:r w:rsidRPr="00637B3D">
        <w:t>(3), 154–162. https://doi.org/10.1177/0951484817748462 </w:t>
      </w:r>
      <w:r w:rsidRPr="00637B3D">
        <w:rPr>
          <w:lang w:val="en-US"/>
        </w:rPr>
        <w:t> </w:t>
      </w:r>
    </w:p>
    <w:p w14:paraId="36AB7117" w14:textId="77777777" w:rsidR="00912452" w:rsidRPr="00637B3D" w:rsidRDefault="00912452" w:rsidP="00912452">
      <w:pPr>
        <w:numPr>
          <w:ilvl w:val="0"/>
          <w:numId w:val="23"/>
        </w:numPr>
        <w:jc w:val="both"/>
        <w:rPr>
          <w:lang w:val="fr-FR"/>
        </w:rPr>
      </w:pPr>
      <w:r w:rsidRPr="00637B3D">
        <w:rPr>
          <w:lang w:val="fr-FR"/>
        </w:rPr>
        <w:t xml:space="preserve">Audrain-Pontevia, A. F., &amp; </w:t>
      </w:r>
      <w:r w:rsidRPr="00637B3D">
        <w:rPr>
          <w:b/>
          <w:bCs/>
          <w:lang w:val="fr-FR"/>
        </w:rPr>
        <w:t>Menvielle, L.</w:t>
      </w:r>
      <w:r w:rsidRPr="00637B3D">
        <w:rPr>
          <w:lang w:val="fr-FR"/>
        </w:rPr>
        <w:t xml:space="preserve"> (2018). </w:t>
      </w:r>
      <w:r w:rsidRPr="00637B3D">
        <w:t>Effects of interpersonal trust among users of online health communities on patient trust in and satisfaction with their physician. </w:t>
      </w:r>
      <w:r w:rsidRPr="00637B3D">
        <w:rPr>
          <w:i/>
          <w:iCs/>
        </w:rPr>
        <w:t>International journal of technology assessment in health care</w:t>
      </w:r>
      <w:r w:rsidRPr="00637B3D">
        <w:t>, </w:t>
      </w:r>
      <w:r w:rsidRPr="00637B3D">
        <w:rPr>
          <w:i/>
          <w:iCs/>
        </w:rPr>
        <w:t>34</w:t>
      </w:r>
      <w:r w:rsidRPr="00637B3D">
        <w:t xml:space="preserve">(1), 56–62. </w:t>
      </w:r>
      <w:hyperlink r:id="rId18" w:tgtFrame="_blank" w:history="1">
        <w:r w:rsidRPr="00637B3D">
          <w:rPr>
            <w:rStyle w:val="Lienhypertexte"/>
          </w:rPr>
          <w:t>https://doi.org/10.1017/S0266462317004433</w:t>
        </w:r>
      </w:hyperlink>
      <w:r w:rsidRPr="00637B3D">
        <w:rPr>
          <w:lang w:val="fr-FR"/>
        </w:rPr>
        <w:t>  </w:t>
      </w:r>
    </w:p>
    <w:p w14:paraId="6A1E5093" w14:textId="77777777" w:rsidR="00912452" w:rsidRPr="00637B3D" w:rsidRDefault="00912452" w:rsidP="00912452">
      <w:pPr>
        <w:numPr>
          <w:ilvl w:val="0"/>
          <w:numId w:val="24"/>
        </w:numPr>
        <w:jc w:val="both"/>
        <w:rPr>
          <w:lang w:val="fr-FR"/>
        </w:rPr>
      </w:pPr>
      <w:r w:rsidRPr="00637B3D">
        <w:rPr>
          <w:b/>
          <w:bCs/>
          <w:lang w:val="fr-FR"/>
        </w:rPr>
        <w:t>Menvielle, L</w:t>
      </w:r>
      <w:r w:rsidRPr="00637B3D">
        <w:rPr>
          <w:lang w:val="fr-FR"/>
        </w:rPr>
        <w:t xml:space="preserve">., Menvielle, W. et Audrain-Pontevia, A. (2018). Comprendre l’interaction des patients membres d’une communauté virtuelle de santé et son impact sur la relation que le patient entretient avec son médecin. </w:t>
      </w:r>
      <w:r w:rsidRPr="00637B3D">
        <w:rPr>
          <w:i/>
          <w:iCs/>
          <w:lang w:val="fr-FR"/>
        </w:rPr>
        <w:t>Systèmes d'information &amp; management, 23</w:t>
      </w:r>
      <w:r w:rsidRPr="00637B3D">
        <w:rPr>
          <w:lang w:val="fr-FR"/>
        </w:rPr>
        <w:t xml:space="preserve">(2), 43-79. </w:t>
      </w:r>
      <w:hyperlink r:id="rId19" w:tgtFrame="_blank" w:history="1">
        <w:r w:rsidRPr="00637B3D">
          <w:rPr>
            <w:rStyle w:val="Lienhypertexte"/>
            <w:lang w:val="fr-FR"/>
          </w:rPr>
          <w:t>https://doi.org/10.3917/sim.182.0043</w:t>
        </w:r>
      </w:hyperlink>
      <w:r w:rsidRPr="00637B3D">
        <w:rPr>
          <w:lang w:val="fr-FR"/>
        </w:rPr>
        <w:t>.  </w:t>
      </w:r>
    </w:p>
    <w:p w14:paraId="280613B6" w14:textId="77777777" w:rsidR="00912452" w:rsidRDefault="00912452" w:rsidP="00912452">
      <w:pPr>
        <w:numPr>
          <w:ilvl w:val="0"/>
          <w:numId w:val="25"/>
        </w:numPr>
        <w:jc w:val="both"/>
        <w:rPr>
          <w:lang w:val="fr-FR"/>
        </w:rPr>
      </w:pPr>
      <w:r w:rsidRPr="00637B3D">
        <w:rPr>
          <w:b/>
          <w:bCs/>
          <w:lang w:val="fr-FR"/>
        </w:rPr>
        <w:t>Menvielle, L</w:t>
      </w:r>
      <w:r w:rsidRPr="00637B3D">
        <w:rPr>
          <w:lang w:val="fr-FR"/>
        </w:rPr>
        <w:t xml:space="preserve">., Menvielle, W. et Audrain-Pontevia, A. (2016). Effets de la fréquence d’utilisation des communautés virtuelles de patients sur la relation patients-médecins. </w:t>
      </w:r>
      <w:r w:rsidRPr="00637B3D">
        <w:rPr>
          <w:i/>
          <w:iCs/>
          <w:lang w:val="fr-FR"/>
        </w:rPr>
        <w:t>Journal de gestion et d'économie médicales, 34</w:t>
      </w:r>
      <w:r w:rsidRPr="00637B3D">
        <w:rPr>
          <w:lang w:val="fr-FR"/>
        </w:rPr>
        <w:t xml:space="preserve">(8), 431-452. </w:t>
      </w:r>
      <w:hyperlink r:id="rId20" w:tgtFrame="_blank" w:history="1">
        <w:r w:rsidRPr="00637B3D">
          <w:rPr>
            <w:rStyle w:val="Lienhypertexte"/>
            <w:lang w:val="fr-FR"/>
          </w:rPr>
          <w:t>https://doi.org/10.3917/jgem.168.0431</w:t>
        </w:r>
      </w:hyperlink>
      <w:r w:rsidRPr="00637B3D">
        <w:rPr>
          <w:lang w:val="fr-FR"/>
        </w:rPr>
        <w:t>.  </w:t>
      </w:r>
    </w:p>
    <w:p w14:paraId="0C2EEDB5" w14:textId="77777777" w:rsidR="00912452" w:rsidRPr="00637B3D" w:rsidRDefault="00912452" w:rsidP="00912452">
      <w:pPr>
        <w:jc w:val="both"/>
        <w:rPr>
          <w:lang w:val="fr-FR"/>
        </w:rPr>
      </w:pPr>
      <w:r>
        <w:rPr>
          <w:b/>
          <w:bCs/>
          <w:lang w:val="fr-FR"/>
        </w:rPr>
        <w:t xml:space="preserve">Books and book </w:t>
      </w:r>
      <w:proofErr w:type="spellStart"/>
      <w:r>
        <w:rPr>
          <w:b/>
          <w:bCs/>
          <w:lang w:val="fr-FR"/>
        </w:rPr>
        <w:t>chapters</w:t>
      </w:r>
      <w:proofErr w:type="spellEnd"/>
      <w:r w:rsidRPr="00637B3D">
        <w:rPr>
          <w:lang w:val="fr-FR"/>
        </w:rPr>
        <w:t>  </w:t>
      </w:r>
    </w:p>
    <w:p w14:paraId="7F620241" w14:textId="77777777" w:rsidR="00912452" w:rsidRPr="00637B3D" w:rsidRDefault="00912452" w:rsidP="00912452">
      <w:pPr>
        <w:numPr>
          <w:ilvl w:val="0"/>
          <w:numId w:val="26"/>
        </w:numPr>
        <w:jc w:val="both"/>
        <w:rPr>
          <w:lang w:val="fr-FR"/>
        </w:rPr>
      </w:pPr>
      <w:r w:rsidRPr="00637B3D">
        <w:rPr>
          <w:b/>
          <w:bCs/>
          <w:lang w:val="fr-FR"/>
        </w:rPr>
        <w:t>Menvielle, L</w:t>
      </w:r>
      <w:r w:rsidRPr="00637B3D">
        <w:rPr>
          <w:lang w:val="fr-FR"/>
        </w:rPr>
        <w:t xml:space="preserve">., Ertz, M., François, J., Audrain-Pontevia, A.-F. (2022). </w:t>
      </w:r>
      <w:r w:rsidRPr="00637B3D">
        <w:t xml:space="preserve">User-Involved Design of Digital Health Products. In: Subburaj, K., Sandhu, K., </w:t>
      </w:r>
      <w:proofErr w:type="spellStart"/>
      <w:r w:rsidRPr="00637B3D">
        <w:t>Ćuković</w:t>
      </w:r>
      <w:proofErr w:type="spellEnd"/>
      <w:r w:rsidRPr="00637B3D">
        <w:t xml:space="preserve">, S. (eds) </w:t>
      </w:r>
      <w:r w:rsidRPr="00637B3D">
        <w:rPr>
          <w:i/>
          <w:iCs/>
        </w:rPr>
        <w:t>Revolutions in Product Design for Healthcare</w:t>
      </w:r>
      <w:r w:rsidRPr="00637B3D">
        <w:t xml:space="preserve">. </w:t>
      </w:r>
      <w:r w:rsidRPr="00637B3D">
        <w:rPr>
          <w:lang w:val="fr-FR"/>
        </w:rPr>
        <w:t xml:space="preserve">Design Science and Innovation. Springer, Singapore. </w:t>
      </w:r>
      <w:hyperlink r:id="rId21" w:tgtFrame="_blank" w:history="1">
        <w:r w:rsidRPr="00637B3D">
          <w:rPr>
            <w:rStyle w:val="Lienhypertexte"/>
            <w:lang w:val="fr-FR"/>
          </w:rPr>
          <w:t>https://doi.org/10.1007/978-981-16-9455-4_1</w:t>
        </w:r>
      </w:hyperlink>
      <w:r w:rsidRPr="00637B3D">
        <w:rPr>
          <w:lang w:val="fr-FR"/>
        </w:rPr>
        <w:t>  </w:t>
      </w:r>
    </w:p>
    <w:p w14:paraId="6DFD7F15" w14:textId="77777777" w:rsidR="00912452" w:rsidRPr="00637B3D" w:rsidRDefault="00912452" w:rsidP="00912452">
      <w:pPr>
        <w:numPr>
          <w:ilvl w:val="0"/>
          <w:numId w:val="27"/>
        </w:numPr>
        <w:jc w:val="both"/>
        <w:rPr>
          <w:lang w:val="fr-FR"/>
        </w:rPr>
      </w:pPr>
      <w:r w:rsidRPr="00637B3D">
        <w:rPr>
          <w:b/>
          <w:bCs/>
          <w:lang w:val="fr-FR"/>
        </w:rPr>
        <w:t>Menvielle, L</w:t>
      </w:r>
      <w:r w:rsidRPr="00637B3D">
        <w:rPr>
          <w:lang w:val="fr-FR"/>
        </w:rPr>
        <w:t xml:space="preserve">., </w:t>
      </w:r>
      <w:proofErr w:type="spellStart"/>
      <w:r w:rsidRPr="00637B3D">
        <w:rPr>
          <w:lang w:val="fr-FR"/>
        </w:rPr>
        <w:t>Cobbaut</w:t>
      </w:r>
      <w:proofErr w:type="spellEnd"/>
      <w:r w:rsidRPr="00637B3D">
        <w:rPr>
          <w:lang w:val="fr-FR"/>
        </w:rPr>
        <w:t>, J. et Williatte, L. (2022). Vers une nouvelle gouvernance en santé connectée. Dans Dirigé par Gallopel-Morvan, K. et Crié, D. (</w:t>
      </w:r>
      <w:proofErr w:type="spellStart"/>
      <w:r w:rsidRPr="00637B3D">
        <w:rPr>
          <w:lang w:val="fr-FR"/>
        </w:rPr>
        <w:t>dir</w:t>
      </w:r>
      <w:proofErr w:type="spellEnd"/>
      <w:r w:rsidRPr="00637B3D">
        <w:rPr>
          <w:lang w:val="fr-FR"/>
        </w:rPr>
        <w:t xml:space="preserve">.), </w:t>
      </w:r>
      <w:r w:rsidRPr="00637B3D">
        <w:rPr>
          <w:i/>
          <w:iCs/>
          <w:lang w:val="fr-FR"/>
        </w:rPr>
        <w:t xml:space="preserve">Marketing social et </w:t>
      </w:r>
      <w:proofErr w:type="spellStart"/>
      <w:r w:rsidRPr="00637B3D">
        <w:rPr>
          <w:i/>
          <w:iCs/>
          <w:lang w:val="fr-FR"/>
        </w:rPr>
        <w:t>nudge</w:t>
      </w:r>
      <w:proofErr w:type="spellEnd"/>
      <w:r w:rsidRPr="00637B3D">
        <w:rPr>
          <w:i/>
          <w:iCs/>
          <w:lang w:val="fr-FR"/>
        </w:rPr>
        <w:t xml:space="preserve"> Comment changer les comportements en santé ?</w:t>
      </w:r>
      <w:r w:rsidRPr="00637B3D">
        <w:rPr>
          <w:lang w:val="fr-FR"/>
        </w:rPr>
        <w:t xml:space="preserve"> </w:t>
      </w:r>
      <w:r w:rsidRPr="00637B3D">
        <w:rPr>
          <w:i/>
          <w:iCs/>
          <w:lang w:val="fr-FR"/>
        </w:rPr>
        <w:t>Comment changer les comportements en santé ?</w:t>
      </w:r>
      <w:r w:rsidRPr="00637B3D">
        <w:rPr>
          <w:lang w:val="fr-FR"/>
        </w:rPr>
        <w:t xml:space="preserve"> </w:t>
      </w:r>
      <w:proofErr w:type="gramStart"/>
      <w:r w:rsidRPr="00637B3D">
        <w:rPr>
          <w:lang w:val="fr-FR"/>
        </w:rPr>
        <w:t>( p.</w:t>
      </w:r>
      <w:proofErr w:type="gramEnd"/>
      <w:r w:rsidRPr="00637B3D">
        <w:rPr>
          <w:lang w:val="fr-FR"/>
        </w:rPr>
        <w:t xml:space="preserve"> 323 -</w:t>
      </w:r>
      <w:proofErr w:type="gramStart"/>
      <w:r w:rsidRPr="00637B3D">
        <w:rPr>
          <w:lang w:val="fr-FR"/>
        </w:rPr>
        <w:t>330 )</w:t>
      </w:r>
      <w:proofErr w:type="gramEnd"/>
      <w:r w:rsidRPr="00637B3D">
        <w:rPr>
          <w:lang w:val="fr-FR"/>
        </w:rPr>
        <w:t>. EMS Éditions. https://doi.org/10.3917/ems.gallo.2022.01.0323.  </w:t>
      </w:r>
    </w:p>
    <w:p w14:paraId="3101320E" w14:textId="77777777" w:rsidR="00912452" w:rsidRPr="00637B3D" w:rsidRDefault="00912452" w:rsidP="00912452">
      <w:pPr>
        <w:numPr>
          <w:ilvl w:val="0"/>
          <w:numId w:val="28"/>
        </w:numPr>
        <w:jc w:val="both"/>
        <w:rPr>
          <w:lang w:val="fr-FR"/>
        </w:rPr>
      </w:pPr>
      <w:r w:rsidRPr="00637B3D">
        <w:rPr>
          <w:b/>
          <w:bCs/>
        </w:rPr>
        <w:t>Kokshagina, O</w:t>
      </w:r>
      <w:r w:rsidRPr="00637B3D">
        <w:t xml:space="preserve">., &amp; Alexander, A. (2020). </w:t>
      </w:r>
      <w:r w:rsidRPr="00637B3D">
        <w:rPr>
          <w:i/>
          <w:iCs/>
        </w:rPr>
        <w:t>Radical Innovation Playbook: A Practical Guide for Harnessing Novel Breakthroughs.</w:t>
      </w:r>
      <w:r w:rsidRPr="00637B3D">
        <w:t xml:space="preserve"> </w:t>
      </w:r>
      <w:r w:rsidRPr="00637B3D">
        <w:rPr>
          <w:lang w:val="fr-FR"/>
        </w:rPr>
        <w:t xml:space="preserve">Walter de </w:t>
      </w:r>
      <w:proofErr w:type="spellStart"/>
      <w:r w:rsidRPr="00637B3D">
        <w:rPr>
          <w:lang w:val="fr-FR"/>
        </w:rPr>
        <w:t>Gruyter</w:t>
      </w:r>
      <w:proofErr w:type="spellEnd"/>
      <w:r w:rsidRPr="00637B3D">
        <w:rPr>
          <w:lang w:val="fr-FR"/>
        </w:rPr>
        <w:t xml:space="preserve">. </w:t>
      </w:r>
      <w:hyperlink r:id="rId22" w:tgtFrame="_blank" w:history="1">
        <w:r w:rsidRPr="00637B3D">
          <w:rPr>
            <w:rStyle w:val="Lienhypertexte"/>
            <w:lang w:val="fr-FR"/>
          </w:rPr>
          <w:t>https://doi.org/10.1515/9783110657922</w:t>
        </w:r>
      </w:hyperlink>
      <w:r w:rsidRPr="00637B3D">
        <w:rPr>
          <w:lang w:val="fr-FR"/>
        </w:rPr>
        <w:t>  </w:t>
      </w:r>
    </w:p>
    <w:p w14:paraId="15EA0C72" w14:textId="77777777" w:rsidR="00912452" w:rsidRPr="00637B3D" w:rsidRDefault="00912452" w:rsidP="00912452">
      <w:pPr>
        <w:numPr>
          <w:ilvl w:val="0"/>
          <w:numId w:val="29"/>
        </w:numPr>
        <w:jc w:val="both"/>
        <w:rPr>
          <w:lang w:val="fr-FR"/>
        </w:rPr>
      </w:pPr>
      <w:r w:rsidRPr="00637B3D">
        <w:rPr>
          <w:b/>
          <w:bCs/>
          <w:lang w:val="fr-FR"/>
        </w:rPr>
        <w:lastRenderedPageBreak/>
        <w:t>Menvielle, L.,</w:t>
      </w:r>
      <w:r w:rsidRPr="00637B3D">
        <w:rPr>
          <w:lang w:val="fr-FR"/>
        </w:rPr>
        <w:t xml:space="preserve"> Audrain-Pontevia, A. F., &amp; Menvielle, W. (2017). </w:t>
      </w:r>
      <w:r w:rsidRPr="00637B3D">
        <w:rPr>
          <w:i/>
          <w:iCs/>
        </w:rPr>
        <w:t>The Digitization of Healthcare: New Challenges and Opportunities.</w:t>
      </w:r>
      <w:r w:rsidRPr="00637B3D">
        <w:t xml:space="preserve"> </w:t>
      </w:r>
      <w:r w:rsidRPr="00637B3D">
        <w:rPr>
          <w:lang w:val="fr-FR"/>
        </w:rPr>
        <w:t xml:space="preserve">Springer. </w:t>
      </w:r>
      <w:hyperlink r:id="rId23" w:tgtFrame="_blank" w:history="1">
        <w:r w:rsidRPr="00637B3D">
          <w:rPr>
            <w:rStyle w:val="Lienhypertexte"/>
            <w:lang w:val="fr-FR"/>
          </w:rPr>
          <w:t>https://doi.org/10.1007/978-3-319-61446-5</w:t>
        </w:r>
      </w:hyperlink>
      <w:r w:rsidRPr="00637B3D">
        <w:rPr>
          <w:lang w:val="fr-FR"/>
        </w:rPr>
        <w:t>  </w:t>
      </w:r>
    </w:p>
    <w:p w14:paraId="4EEC1E38" w14:textId="77777777" w:rsidR="00912452" w:rsidRDefault="00912452" w:rsidP="00912452"/>
    <w:p w14:paraId="456C0554" w14:textId="77777777" w:rsidR="00912452" w:rsidRDefault="00912452"/>
    <w:sectPr w:rsidR="009124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10FD0"/>
    <w:multiLevelType w:val="multilevel"/>
    <w:tmpl w:val="A4D05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672BD8"/>
    <w:multiLevelType w:val="multilevel"/>
    <w:tmpl w:val="51BE6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0C1799"/>
    <w:multiLevelType w:val="multilevel"/>
    <w:tmpl w:val="F012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3F4A90"/>
    <w:multiLevelType w:val="multilevel"/>
    <w:tmpl w:val="8A821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656EF5"/>
    <w:multiLevelType w:val="multilevel"/>
    <w:tmpl w:val="E0E2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462A48"/>
    <w:multiLevelType w:val="multilevel"/>
    <w:tmpl w:val="80162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FD5721"/>
    <w:multiLevelType w:val="hybridMultilevel"/>
    <w:tmpl w:val="F90496F0"/>
    <w:lvl w:ilvl="0" w:tplc="CE9CB520">
      <w:start w:val="3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3B57FC7"/>
    <w:multiLevelType w:val="multilevel"/>
    <w:tmpl w:val="80FA9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D20E1B"/>
    <w:multiLevelType w:val="multilevel"/>
    <w:tmpl w:val="AE1E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0F4301"/>
    <w:multiLevelType w:val="multilevel"/>
    <w:tmpl w:val="6FDA8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5A60CD"/>
    <w:multiLevelType w:val="multilevel"/>
    <w:tmpl w:val="EB94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B87F6B"/>
    <w:multiLevelType w:val="multilevel"/>
    <w:tmpl w:val="E7C65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19290E"/>
    <w:multiLevelType w:val="multilevel"/>
    <w:tmpl w:val="647A2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B54EDB"/>
    <w:multiLevelType w:val="multilevel"/>
    <w:tmpl w:val="B7F4A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20C0036"/>
    <w:multiLevelType w:val="hybridMultilevel"/>
    <w:tmpl w:val="3572D3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E72E76"/>
    <w:multiLevelType w:val="multilevel"/>
    <w:tmpl w:val="1F869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0944E5"/>
    <w:multiLevelType w:val="multilevel"/>
    <w:tmpl w:val="94529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284289"/>
    <w:multiLevelType w:val="multilevel"/>
    <w:tmpl w:val="A1CEE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239116D"/>
    <w:multiLevelType w:val="multilevel"/>
    <w:tmpl w:val="4B5A4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C22BA7"/>
    <w:multiLevelType w:val="multilevel"/>
    <w:tmpl w:val="D278C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D362C3A"/>
    <w:multiLevelType w:val="multilevel"/>
    <w:tmpl w:val="D4D0B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FAC1D30"/>
    <w:multiLevelType w:val="multilevel"/>
    <w:tmpl w:val="EDD4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1814F24"/>
    <w:multiLevelType w:val="multilevel"/>
    <w:tmpl w:val="ACC6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4DD323B"/>
    <w:multiLevelType w:val="multilevel"/>
    <w:tmpl w:val="6EBC8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81D6C5D"/>
    <w:multiLevelType w:val="multilevel"/>
    <w:tmpl w:val="FFB4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9DB3E0C"/>
    <w:multiLevelType w:val="multilevel"/>
    <w:tmpl w:val="401A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E700579"/>
    <w:multiLevelType w:val="multilevel"/>
    <w:tmpl w:val="2DE4E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A823245"/>
    <w:multiLevelType w:val="multilevel"/>
    <w:tmpl w:val="6EBEC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4B2CA2"/>
    <w:multiLevelType w:val="multilevel"/>
    <w:tmpl w:val="DF0A1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9220970">
    <w:abstractNumId w:val="6"/>
  </w:num>
  <w:num w:numId="2" w16cid:durableId="167671497">
    <w:abstractNumId w:val="14"/>
  </w:num>
  <w:num w:numId="3" w16cid:durableId="1814369933">
    <w:abstractNumId w:val="1"/>
  </w:num>
  <w:num w:numId="4" w16cid:durableId="832795690">
    <w:abstractNumId w:val="7"/>
  </w:num>
  <w:num w:numId="5" w16cid:durableId="1531724918">
    <w:abstractNumId w:val="20"/>
  </w:num>
  <w:num w:numId="6" w16cid:durableId="1189218014">
    <w:abstractNumId w:val="12"/>
  </w:num>
  <w:num w:numId="7" w16cid:durableId="286788044">
    <w:abstractNumId w:val="8"/>
  </w:num>
  <w:num w:numId="8" w16cid:durableId="1222790324">
    <w:abstractNumId w:val="3"/>
  </w:num>
  <w:num w:numId="9" w16cid:durableId="1662854822">
    <w:abstractNumId w:val="28"/>
  </w:num>
  <w:num w:numId="10" w16cid:durableId="1557201337">
    <w:abstractNumId w:val="13"/>
  </w:num>
  <w:num w:numId="11" w16cid:durableId="931275403">
    <w:abstractNumId w:val="24"/>
  </w:num>
  <w:num w:numId="12" w16cid:durableId="132331473">
    <w:abstractNumId w:val="10"/>
  </w:num>
  <w:num w:numId="13" w16cid:durableId="1350642426">
    <w:abstractNumId w:val="23"/>
  </w:num>
  <w:num w:numId="14" w16cid:durableId="1005089182">
    <w:abstractNumId w:val="22"/>
  </w:num>
  <w:num w:numId="15" w16cid:durableId="1824348814">
    <w:abstractNumId w:val="0"/>
  </w:num>
  <w:num w:numId="16" w16cid:durableId="38286323">
    <w:abstractNumId w:val="21"/>
  </w:num>
  <w:num w:numId="17" w16cid:durableId="357586512">
    <w:abstractNumId w:val="19"/>
  </w:num>
  <w:num w:numId="18" w16cid:durableId="722221049">
    <w:abstractNumId w:val="25"/>
  </w:num>
  <w:num w:numId="19" w16cid:durableId="951207146">
    <w:abstractNumId w:val="4"/>
  </w:num>
  <w:num w:numId="20" w16cid:durableId="1588687931">
    <w:abstractNumId w:val="5"/>
  </w:num>
  <w:num w:numId="21" w16cid:durableId="1900550116">
    <w:abstractNumId w:val="17"/>
  </w:num>
  <w:num w:numId="22" w16cid:durableId="842864362">
    <w:abstractNumId w:val="16"/>
  </w:num>
  <w:num w:numId="23" w16cid:durableId="63334826">
    <w:abstractNumId w:val="15"/>
  </w:num>
  <w:num w:numId="24" w16cid:durableId="1542136458">
    <w:abstractNumId w:val="26"/>
  </w:num>
  <w:num w:numId="25" w16cid:durableId="1394083462">
    <w:abstractNumId w:val="9"/>
  </w:num>
  <w:num w:numId="26" w16cid:durableId="449738932">
    <w:abstractNumId w:val="2"/>
  </w:num>
  <w:num w:numId="27" w16cid:durableId="1678579373">
    <w:abstractNumId w:val="11"/>
  </w:num>
  <w:num w:numId="28" w16cid:durableId="652876296">
    <w:abstractNumId w:val="18"/>
  </w:num>
  <w:num w:numId="29" w16cid:durableId="104930499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452"/>
    <w:rsid w:val="002B7A26"/>
    <w:rsid w:val="00912452"/>
    <w:rsid w:val="00B01994"/>
    <w:rsid w:val="00B835D8"/>
    <w:rsid w:val="00C75E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925BC"/>
  <w15:chartTrackingRefBased/>
  <w15:docId w15:val="{984A6707-ADB9-414F-B8EE-EDB9E8398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452"/>
    <w:pPr>
      <w:spacing w:line="259" w:lineRule="auto"/>
    </w:pPr>
    <w:rPr>
      <w:sz w:val="22"/>
      <w:szCs w:val="22"/>
      <w:lang w:val="en-GB"/>
    </w:rPr>
  </w:style>
  <w:style w:type="paragraph" w:styleId="Titre1">
    <w:name w:val="heading 1"/>
    <w:basedOn w:val="Normal"/>
    <w:next w:val="Normal"/>
    <w:link w:val="Titre1Car"/>
    <w:qFormat/>
    <w:rsid w:val="009124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124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1245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1245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1245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1245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1245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1245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1245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91245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1245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1245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1245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1245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1245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1245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1245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12452"/>
    <w:rPr>
      <w:rFonts w:eastAsiaTheme="majorEastAsia" w:cstheme="majorBidi"/>
      <w:color w:val="272727" w:themeColor="text1" w:themeTint="D8"/>
    </w:rPr>
  </w:style>
  <w:style w:type="paragraph" w:styleId="Titre">
    <w:name w:val="Title"/>
    <w:basedOn w:val="Normal"/>
    <w:next w:val="Normal"/>
    <w:link w:val="TitreCar"/>
    <w:uiPriority w:val="10"/>
    <w:qFormat/>
    <w:rsid w:val="009124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1245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1245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1245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12452"/>
    <w:pPr>
      <w:spacing w:before="160"/>
      <w:jc w:val="center"/>
    </w:pPr>
    <w:rPr>
      <w:i/>
      <w:iCs/>
      <w:color w:val="404040" w:themeColor="text1" w:themeTint="BF"/>
    </w:rPr>
  </w:style>
  <w:style w:type="character" w:customStyle="1" w:styleId="CitationCar">
    <w:name w:val="Citation Car"/>
    <w:basedOn w:val="Policepardfaut"/>
    <w:link w:val="Citation"/>
    <w:uiPriority w:val="29"/>
    <w:rsid w:val="00912452"/>
    <w:rPr>
      <w:i/>
      <w:iCs/>
      <w:color w:val="404040" w:themeColor="text1" w:themeTint="BF"/>
    </w:rPr>
  </w:style>
  <w:style w:type="paragraph" w:styleId="Paragraphedeliste">
    <w:name w:val="List Paragraph"/>
    <w:basedOn w:val="Normal"/>
    <w:uiPriority w:val="34"/>
    <w:qFormat/>
    <w:rsid w:val="00912452"/>
    <w:pPr>
      <w:ind w:left="720"/>
      <w:contextualSpacing/>
    </w:pPr>
  </w:style>
  <w:style w:type="character" w:styleId="Accentuationintense">
    <w:name w:val="Intense Emphasis"/>
    <w:basedOn w:val="Policepardfaut"/>
    <w:uiPriority w:val="21"/>
    <w:qFormat/>
    <w:rsid w:val="00912452"/>
    <w:rPr>
      <w:i/>
      <w:iCs/>
      <w:color w:val="0F4761" w:themeColor="accent1" w:themeShade="BF"/>
    </w:rPr>
  </w:style>
  <w:style w:type="paragraph" w:styleId="Citationintense">
    <w:name w:val="Intense Quote"/>
    <w:basedOn w:val="Normal"/>
    <w:next w:val="Normal"/>
    <w:link w:val="CitationintenseCar"/>
    <w:uiPriority w:val="30"/>
    <w:qFormat/>
    <w:rsid w:val="009124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12452"/>
    <w:rPr>
      <w:i/>
      <w:iCs/>
      <w:color w:val="0F4761" w:themeColor="accent1" w:themeShade="BF"/>
    </w:rPr>
  </w:style>
  <w:style w:type="character" w:styleId="Rfrenceintense">
    <w:name w:val="Intense Reference"/>
    <w:basedOn w:val="Policepardfaut"/>
    <w:uiPriority w:val="32"/>
    <w:qFormat/>
    <w:rsid w:val="00912452"/>
    <w:rPr>
      <w:b/>
      <w:bCs/>
      <w:smallCaps/>
      <w:color w:val="0F4761" w:themeColor="accent1" w:themeShade="BF"/>
      <w:spacing w:val="5"/>
    </w:rPr>
  </w:style>
  <w:style w:type="character" w:styleId="Lienhypertexte">
    <w:name w:val="Hyperlink"/>
    <w:basedOn w:val="Policepardfaut"/>
    <w:uiPriority w:val="99"/>
    <w:unhideWhenUsed/>
    <w:rsid w:val="00912452"/>
    <w:rPr>
      <w:color w:val="467886" w:themeColor="hyperlink"/>
      <w:u w:val="single"/>
    </w:rPr>
  </w:style>
  <w:style w:type="paragraph" w:styleId="NormalWeb">
    <w:name w:val="Normal (Web)"/>
    <w:basedOn w:val="Normal"/>
    <w:uiPriority w:val="99"/>
    <w:semiHidden/>
    <w:unhideWhenUsed/>
    <w:rsid w:val="00912452"/>
    <w:pPr>
      <w:spacing w:before="100" w:beforeAutospacing="1" w:after="100" w:afterAutospacing="1" w:line="240" w:lineRule="auto"/>
    </w:pPr>
    <w:rPr>
      <w:rFonts w:ascii="Times New Roman" w:eastAsia="Times New Roman" w:hAnsi="Times New Roman" w:cs="Times New Roman"/>
      <w:kern w:val="0"/>
      <w:sz w:val="24"/>
      <w:szCs w:val="24"/>
      <w:lang w:val="fr-FR" w:eastAsia="fr-FR"/>
      <w14:ligatures w14:val="none"/>
    </w:rPr>
  </w:style>
  <w:style w:type="character" w:styleId="Mentionnonrsolue">
    <w:name w:val="Unresolved Mention"/>
    <w:basedOn w:val="Policepardfaut"/>
    <w:uiPriority w:val="99"/>
    <w:semiHidden/>
    <w:unhideWhenUsed/>
    <w:rsid w:val="00B019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sd.2401" TargetMode="External"/><Relationship Id="rId13" Type="http://schemas.openxmlformats.org/officeDocument/2006/relationships/hyperlink" Target="https://doi.org/10.1016/j.indmarman.2023.01.012" TargetMode="External"/><Relationship Id="rId18" Type="http://schemas.openxmlformats.org/officeDocument/2006/relationships/hyperlink" Target="https://doi.org/10.1017/S0266462317004433" TargetMode="External"/><Relationship Id="rId3" Type="http://schemas.openxmlformats.org/officeDocument/2006/relationships/settings" Target="settings.xml"/><Relationship Id="rId21" Type="http://schemas.openxmlformats.org/officeDocument/2006/relationships/hyperlink" Target="https://doi.org/10.1007/978-981-16-9455-4_1" TargetMode="External"/><Relationship Id="rId7" Type="http://schemas.openxmlformats.org/officeDocument/2006/relationships/hyperlink" Target="https://www.edhec.edu/en/research-and-faculty/edhec-vox/3-questions-loick-menvielle-new-barometer-dedicated-connected-health" TargetMode="External"/><Relationship Id="rId12" Type="http://schemas.openxmlformats.org/officeDocument/2006/relationships/hyperlink" Target="https://doi.org/10.1016/j.jik.2023.100365" TargetMode="External"/><Relationship Id="rId17" Type="http://schemas.openxmlformats.org/officeDocument/2006/relationships/hyperlink" Target="https://doi.org/10.1177/00081256221138456"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016/j.indmarman.2021.08.010" TargetMode="External"/><Relationship Id="rId20" Type="http://schemas.openxmlformats.org/officeDocument/2006/relationships/hyperlink" Target="https://doi.org/10.3917/jgem.168.0431" TargetMode="External"/><Relationship Id="rId1" Type="http://schemas.openxmlformats.org/officeDocument/2006/relationships/numbering" Target="numbering.xml"/><Relationship Id="rId6" Type="http://schemas.openxmlformats.org/officeDocument/2006/relationships/hyperlink" Target="https://www.edhec.edu/en/research-and-faculty/edhec-vox/healthcare-faces-dual-challenge-digitalisation-and-illiteracy" TargetMode="External"/><Relationship Id="rId11" Type="http://schemas.openxmlformats.org/officeDocument/2006/relationships/hyperlink" Target="https://doi.org/10.1136/leader-2020-000421" TargetMode="External"/><Relationship Id="rId24" Type="http://schemas.openxmlformats.org/officeDocument/2006/relationships/fontTable" Target="fontTable.xml"/><Relationship Id="rId5" Type="http://schemas.openxmlformats.org/officeDocument/2006/relationships/hyperlink" Target="mailto:loick.menvielle@edhec.edu" TargetMode="External"/><Relationship Id="rId15" Type="http://schemas.openxmlformats.org/officeDocument/2006/relationships/hyperlink" Target="https://doi.org/10.1108/JSTP-08-2020-0180" TargetMode="External"/><Relationship Id="rId23" Type="http://schemas.openxmlformats.org/officeDocument/2006/relationships/hyperlink" Target="https://doi.org/10.1007/978-3-319-61446-5" TargetMode="External"/><Relationship Id="rId10" Type="http://schemas.openxmlformats.org/officeDocument/2006/relationships/hyperlink" Target="https://doi.org/10.1016/j.technovation.2023.103026" TargetMode="External"/><Relationship Id="rId19" Type="http://schemas.openxmlformats.org/officeDocument/2006/relationships/hyperlink" Target="https://doi.org/10.3917/sim.182.0043" TargetMode="External"/><Relationship Id="rId4" Type="http://schemas.openxmlformats.org/officeDocument/2006/relationships/webSettings" Target="webSettings.xml"/><Relationship Id="rId9" Type="http://schemas.openxmlformats.org/officeDocument/2006/relationships/hyperlink" Target="https://doi.org/10.1108/IJEBR-12-2021-0987" TargetMode="External"/><Relationship Id="rId14" Type="http://schemas.openxmlformats.org/officeDocument/2006/relationships/hyperlink" Target="https://doi.org/10.1108/MEDAR-06-2021-1321" TargetMode="External"/><Relationship Id="rId22" Type="http://schemas.openxmlformats.org/officeDocument/2006/relationships/hyperlink" Target="https://doi.org/10.1515/978311065792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5228</Words>
  <Characters>28760</Characters>
  <Application>Microsoft Office Word</Application>
  <DocSecurity>0</DocSecurity>
  <Lines>239</Lines>
  <Paragraphs>67</Paragraphs>
  <ScaleCrop>false</ScaleCrop>
  <Company>EDHEC</Company>
  <LinksUpToDate>false</LinksUpToDate>
  <CharactersWithSpaces>33921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MENVIELLE Loick</dc:creator>
  <cp:keywords/>
  <dc:description/>
  <cp:lastModifiedBy>MENVIELLE Loick</cp:lastModifiedBy>
  <cp:revision>3</cp:revision>
  <dcterms:created xsi:type="dcterms:W3CDTF">2025-06-16T20:58:00Z</dcterms:created>
  <dcterms:modified xsi:type="dcterms:W3CDTF">2025-06-22T16:43:00Z</dcterms:modified>
</cp:coreProperties>
</file>